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9D15B6" w:rsidRPr="009D15B6">
        <w:rPr>
          <w:rFonts w:ascii="Times New Roman" w:hAnsi="Times New Roman" w:cs="Times New Roman"/>
          <w:b/>
          <w:sz w:val="24"/>
        </w:rPr>
        <w:t xml:space="preserve">Ražotājfirmas „Philips” jonizējošo starojumu avotu (stacionāro, ķirurģisko un pārvietojamo </w:t>
      </w:r>
      <w:proofErr w:type="spellStart"/>
      <w:r w:rsidR="009D15B6" w:rsidRPr="009D15B6">
        <w:rPr>
          <w:rFonts w:ascii="Times New Roman" w:hAnsi="Times New Roman" w:cs="Times New Roman"/>
          <w:b/>
          <w:sz w:val="24"/>
        </w:rPr>
        <w:t>rentgeniekārtu</w:t>
      </w:r>
      <w:proofErr w:type="spellEnd"/>
      <w:r w:rsidR="009D15B6" w:rsidRPr="009D15B6">
        <w:rPr>
          <w:rFonts w:ascii="Times New Roman" w:hAnsi="Times New Roman" w:cs="Times New Roman"/>
          <w:b/>
          <w:sz w:val="24"/>
        </w:rPr>
        <w:t>) profilaktiskā, korektīvā apkope un rezerves daļas</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2E6017">
        <w:rPr>
          <w:rFonts w:ascii="Times New Roman" w:eastAsia="Times New Roman" w:hAnsi="Times New Roman" w:cs="Times New Roman"/>
          <w:sz w:val="24"/>
          <w:szCs w:val="24"/>
        </w:rPr>
        <w:t>3</w:t>
      </w:r>
      <w:r w:rsidR="00DB6984">
        <w:rPr>
          <w:rFonts w:ascii="Times New Roman" w:eastAsia="Times New Roman" w:hAnsi="Times New Roman" w:cs="Times New Roman"/>
          <w:sz w:val="24"/>
          <w:szCs w:val="24"/>
        </w:rPr>
        <w:t>0</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9D15B6">
        <w:rPr>
          <w:rFonts w:ascii="Times New Roman" w:eastAsia="Times New Roman" w:hAnsi="Times New Roman" w:cs="Times New Roman"/>
          <w:bCs/>
          <w:sz w:val="24"/>
          <w:szCs w:val="24"/>
        </w:rPr>
        <w:t>11</w:t>
      </w:r>
      <w:r w:rsidR="00DB6984">
        <w:rPr>
          <w:rFonts w:ascii="Times New Roman" w:eastAsia="Times New Roman" w:hAnsi="Times New Roman" w:cs="Times New Roman"/>
          <w:bCs/>
          <w:sz w:val="24"/>
          <w:szCs w:val="24"/>
        </w:rPr>
        <w:t xml:space="preserve">. </w:t>
      </w:r>
      <w:r w:rsidR="009D15B6">
        <w:rPr>
          <w:rFonts w:ascii="Times New Roman" w:eastAsia="Times New Roman" w:hAnsi="Times New Roman" w:cs="Times New Roman"/>
          <w:bCs/>
          <w:sz w:val="24"/>
          <w:szCs w:val="24"/>
        </w:rPr>
        <w:t>decem</w:t>
      </w:r>
      <w:r w:rsidR="00DB6984">
        <w:rPr>
          <w:rFonts w:ascii="Times New Roman" w:eastAsia="Times New Roman" w:hAnsi="Times New Roman" w:cs="Times New Roman"/>
          <w:bCs/>
          <w:sz w:val="24"/>
          <w:szCs w:val="24"/>
        </w:rPr>
        <w:t>brī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9D15B6">
        <w:rPr>
          <w:rFonts w:ascii="Times New Roman" w:eastAsia="Times New Roman" w:hAnsi="Times New Roman" w:cs="Times New Roman"/>
          <w:bCs/>
          <w:sz w:val="24"/>
          <w:szCs w:val="24"/>
        </w:rPr>
        <w:t>28</w:t>
      </w:r>
      <w:r w:rsidR="00A95D60">
        <w:rPr>
          <w:rFonts w:ascii="Times New Roman" w:eastAsia="Times New Roman" w:hAnsi="Times New Roman" w:cs="Times New Roman"/>
          <w:bCs/>
          <w:sz w:val="24"/>
          <w:szCs w:val="24"/>
        </w:rPr>
        <w:t xml:space="preserve">. </w:t>
      </w:r>
      <w:r w:rsidR="009D15B6">
        <w:rPr>
          <w:rFonts w:ascii="Times New Roman" w:eastAsia="Times New Roman" w:hAnsi="Times New Roman" w:cs="Times New Roman"/>
          <w:bCs/>
          <w:sz w:val="24"/>
          <w:szCs w:val="24"/>
        </w:rPr>
        <w:t>novem</w:t>
      </w:r>
      <w:r w:rsidR="00DB6984">
        <w:rPr>
          <w:rFonts w:ascii="Times New Roman" w:eastAsia="Times New Roman" w:hAnsi="Times New Roman" w:cs="Times New Roman"/>
          <w:bCs/>
          <w:sz w:val="24"/>
          <w:szCs w:val="24"/>
        </w:rPr>
        <w:t>brī</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9D15B6" w:rsidRPr="00445A73">
        <w:rPr>
          <w:rFonts w:ascii="Times New Roman" w:eastAsia="Times New Roman" w:hAnsi="Times New Roman" w:cs="Times New Roman"/>
          <w:sz w:val="24"/>
          <w:szCs w:val="24"/>
        </w:rPr>
        <w:t xml:space="preserve">ar slimnīcas valdes priekšsēdētājas A. Vaivodes 2018. gada </w:t>
      </w:r>
      <w:r w:rsidR="009D15B6">
        <w:rPr>
          <w:rFonts w:ascii="Times New Roman" w:eastAsia="Times New Roman" w:hAnsi="Times New Roman" w:cs="Times New Roman"/>
          <w:sz w:val="24"/>
          <w:szCs w:val="24"/>
        </w:rPr>
        <w:t>27. novembra</w:t>
      </w:r>
      <w:r w:rsidR="009D15B6" w:rsidRPr="00445A73">
        <w:rPr>
          <w:rFonts w:ascii="Times New Roman" w:eastAsia="Times New Roman" w:hAnsi="Times New Roman" w:cs="Times New Roman"/>
          <w:sz w:val="24"/>
          <w:szCs w:val="24"/>
        </w:rPr>
        <w:t xml:space="preserve"> rīkojumu Nr. 01-6/</w:t>
      </w:r>
      <w:r w:rsidR="009D15B6">
        <w:rPr>
          <w:rFonts w:ascii="Times New Roman" w:eastAsia="Times New Roman" w:hAnsi="Times New Roman" w:cs="Times New Roman"/>
          <w:sz w:val="24"/>
          <w:szCs w:val="24"/>
        </w:rPr>
        <w:t>151</w:t>
      </w:r>
      <w:r w:rsidR="009D15B6" w:rsidRPr="00445A73">
        <w:rPr>
          <w:rFonts w:ascii="Times New Roman" w:eastAsia="Times New Roman" w:hAnsi="Times New Roman" w:cs="Times New Roman"/>
          <w:sz w:val="24"/>
          <w:szCs w:val="24"/>
        </w:rPr>
        <w:t xml:space="preserve"> apstiprināta iepirkuma komisija: iepirkuma komisijas priekšsēdētāja – valdes locekle Inese Rantiņa, iepirkuma komisijas priekšsēdētājas vietnieks:</w:t>
      </w:r>
      <w:r w:rsidR="009D15B6">
        <w:rPr>
          <w:rFonts w:ascii="Times New Roman" w:eastAsia="Times New Roman" w:hAnsi="Times New Roman" w:cs="Times New Roman"/>
          <w:sz w:val="24"/>
          <w:szCs w:val="24"/>
        </w:rPr>
        <w:t xml:space="preserve"> </w:t>
      </w:r>
      <w:proofErr w:type="spellStart"/>
      <w:r w:rsidR="009D15B6" w:rsidRPr="00445A73">
        <w:rPr>
          <w:rFonts w:ascii="Times New Roman" w:hAnsi="Times New Roman" w:cs="Times New Roman"/>
          <w:sz w:val="24"/>
          <w:szCs w:val="24"/>
        </w:rPr>
        <w:t>Energo</w:t>
      </w:r>
      <w:proofErr w:type="spellEnd"/>
      <w:r w:rsidR="009D15B6" w:rsidRPr="00445A73">
        <w:rPr>
          <w:rFonts w:ascii="Times New Roman" w:hAnsi="Times New Roman" w:cs="Times New Roman"/>
          <w:sz w:val="24"/>
          <w:szCs w:val="24"/>
        </w:rPr>
        <w:t xml:space="preserve"> un saimniecības daļas vadītājs Dainis Kalniņš</w:t>
      </w:r>
      <w:r w:rsidR="009D15B6">
        <w:rPr>
          <w:rFonts w:ascii="Times New Roman" w:eastAsia="Times New Roman" w:hAnsi="Times New Roman" w:cs="Times New Roman"/>
          <w:sz w:val="24"/>
          <w:szCs w:val="24"/>
        </w:rPr>
        <w:t>, komisijas locekļi</w:t>
      </w:r>
      <w:r w:rsidR="009D15B6" w:rsidRPr="00445A73">
        <w:rPr>
          <w:rFonts w:ascii="Times New Roman" w:eastAsia="Times New Roman" w:hAnsi="Times New Roman" w:cs="Times New Roman"/>
          <w:sz w:val="24"/>
          <w:szCs w:val="24"/>
        </w:rPr>
        <w:t>:</w:t>
      </w:r>
      <w:r w:rsidR="009D15B6">
        <w:rPr>
          <w:rFonts w:ascii="Times New Roman" w:eastAsia="Times New Roman" w:hAnsi="Times New Roman" w:cs="Times New Roman"/>
          <w:sz w:val="24"/>
          <w:szCs w:val="24"/>
        </w:rPr>
        <w:t xml:space="preserve"> </w:t>
      </w:r>
      <w:r w:rsidR="009D15B6" w:rsidRPr="00445A73">
        <w:rPr>
          <w:rFonts w:ascii="Times New Roman" w:eastAsia="Times New Roman" w:hAnsi="Times New Roman" w:cs="Times New Roman"/>
          <w:sz w:val="24"/>
          <w:szCs w:val="24"/>
        </w:rPr>
        <w:t>galvenā iepirkumu speciāliste Vineta Vīksna</w:t>
      </w:r>
      <w:r w:rsidR="0046275D" w:rsidRPr="0046275D">
        <w:rPr>
          <w:rFonts w:ascii="Times New Roman" w:eastAsia="Times New Roman" w:hAnsi="Times New Roman" w:cs="Times New Roman"/>
          <w:sz w:val="24"/>
          <w:szCs w:val="24"/>
        </w:rPr>
        <w:t>.</w:t>
      </w:r>
    </w:p>
    <w:p w:rsidR="00D7166A" w:rsidRPr="00316F13" w:rsidRDefault="00D7166A" w:rsidP="009D15B6">
      <w:pPr>
        <w:pStyle w:val="Sarakstarindkopa"/>
        <w:widowControl w:val="0"/>
        <w:numPr>
          <w:ilvl w:val="0"/>
          <w:numId w:val="2"/>
        </w:numPr>
        <w:suppressAutoHyphens/>
        <w:spacing w:before="200" w:after="0" w:line="260" w:lineRule="atLeast"/>
        <w:ind w:left="426" w:hanging="426"/>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9D15B6">
        <w:rPr>
          <w:rFonts w:ascii="Times New Roman" w:hAnsi="Times New Roman" w:cs="Times New Roman"/>
          <w:sz w:val="24"/>
        </w:rPr>
        <w:t>r</w:t>
      </w:r>
      <w:r w:rsidR="009D15B6" w:rsidRPr="009D15B6">
        <w:rPr>
          <w:rFonts w:ascii="Times New Roman" w:hAnsi="Times New Roman" w:cs="Times New Roman"/>
          <w:sz w:val="24"/>
        </w:rPr>
        <w:t xml:space="preserve">ažotājfirmas „Philips” jonizējošo starojumu avotu (stacionāro, ķirurģisko un pārvietojamo </w:t>
      </w:r>
      <w:proofErr w:type="spellStart"/>
      <w:r w:rsidR="009D15B6" w:rsidRPr="009D15B6">
        <w:rPr>
          <w:rFonts w:ascii="Times New Roman" w:hAnsi="Times New Roman" w:cs="Times New Roman"/>
          <w:sz w:val="24"/>
        </w:rPr>
        <w:t>rentgeniekārtu</w:t>
      </w:r>
      <w:proofErr w:type="spellEnd"/>
      <w:r w:rsidR="009D15B6" w:rsidRPr="009D15B6">
        <w:rPr>
          <w:rFonts w:ascii="Times New Roman" w:hAnsi="Times New Roman" w:cs="Times New Roman"/>
          <w:sz w:val="24"/>
        </w:rPr>
        <w:t>) profilaktiskā, korektīvā apkope un rezerves daļas</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D000DD">
        <w:rPr>
          <w:rFonts w:ascii="Times New Roman" w:hAnsi="Times New Roman" w:cs="Times New Roman"/>
          <w:sz w:val="24"/>
          <w:szCs w:val="24"/>
        </w:rPr>
        <w:t>1</w:t>
      </w:r>
      <w:r w:rsidR="009D15B6">
        <w:rPr>
          <w:rFonts w:ascii="Times New Roman" w:hAnsi="Times New Roman" w:cs="Times New Roman"/>
          <w:sz w:val="24"/>
          <w:szCs w:val="24"/>
        </w:rPr>
        <w:t>0</w:t>
      </w:r>
      <w:r w:rsidRPr="002A7B3D">
        <w:rPr>
          <w:rFonts w:ascii="Times New Roman" w:hAnsi="Times New Roman" w:cs="Times New Roman"/>
          <w:sz w:val="24"/>
          <w:szCs w:val="24"/>
        </w:rPr>
        <w:t xml:space="preserve">. </w:t>
      </w:r>
      <w:r w:rsidR="009D15B6">
        <w:rPr>
          <w:rFonts w:ascii="Times New Roman" w:hAnsi="Times New Roman" w:cs="Times New Roman"/>
          <w:sz w:val="24"/>
          <w:szCs w:val="24"/>
        </w:rPr>
        <w:t>decem</w:t>
      </w:r>
      <w:r w:rsidR="00D000DD">
        <w:rPr>
          <w:rFonts w:ascii="Times New Roman" w:hAnsi="Times New Roman" w:cs="Times New Roman"/>
          <w:sz w:val="24"/>
          <w:szCs w:val="24"/>
        </w:rPr>
        <w:t>bris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C86926" w:rsidRPr="00B30FDC" w:rsidTr="0078746C">
        <w:trPr>
          <w:trHeight w:val="562"/>
        </w:trPr>
        <w:tc>
          <w:tcPr>
            <w:tcW w:w="70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5"/>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D000DD" w:rsidP="00DA324E">
            <w:pPr>
              <w:spacing w:after="0" w:line="280" w:lineRule="atLeast"/>
              <w:rPr>
                <w:rFonts w:ascii="Times New Roman" w:hAnsi="Times New Roman" w:cs="Times New Roman"/>
                <w:sz w:val="24"/>
                <w:szCs w:val="24"/>
              </w:rPr>
            </w:pPr>
            <w:r w:rsidRPr="00C44332">
              <w:rPr>
                <w:rFonts w:ascii="Times New Roman" w:hAnsi="Times New Roman" w:cs="Times New Roman"/>
                <w:sz w:val="24"/>
                <w:szCs w:val="24"/>
                <w:shd w:val="clear" w:color="auto" w:fill="FFFFFF"/>
              </w:rPr>
              <w:t>SIA “</w:t>
            </w:r>
            <w:proofErr w:type="spellStart"/>
            <w:r w:rsidRPr="00C44332">
              <w:rPr>
                <w:rFonts w:ascii="Times New Roman" w:hAnsi="Times New Roman" w:cs="Times New Roman"/>
                <w:sz w:val="24"/>
                <w:szCs w:val="24"/>
                <w:shd w:val="clear" w:color="auto" w:fill="FFFFFF"/>
              </w:rPr>
              <w:t>Arbor</w:t>
            </w:r>
            <w:proofErr w:type="spellEnd"/>
            <w:r w:rsidRPr="00C44332">
              <w:rPr>
                <w:rFonts w:ascii="Times New Roman" w:hAnsi="Times New Roman" w:cs="Times New Roman"/>
                <w:sz w:val="24"/>
                <w:szCs w:val="24"/>
                <w:shd w:val="clear" w:color="auto" w:fill="FFFFFF"/>
              </w:rPr>
              <w:t xml:space="preserve"> Medical Korporācija”, </w:t>
            </w:r>
            <w:proofErr w:type="spellStart"/>
            <w:r w:rsidRPr="00C44332">
              <w:rPr>
                <w:rFonts w:ascii="Times New Roman" w:hAnsi="Times New Roman" w:cs="Times New Roman"/>
                <w:sz w:val="24"/>
                <w:szCs w:val="24"/>
                <w:shd w:val="clear" w:color="auto" w:fill="FFFFFF"/>
              </w:rPr>
              <w:t>reģ</w:t>
            </w:r>
            <w:proofErr w:type="spellEnd"/>
            <w:r w:rsidRPr="00C44332">
              <w:rPr>
                <w:rFonts w:ascii="Times New Roman" w:hAnsi="Times New Roman" w:cs="Times New Roman"/>
                <w:sz w:val="24"/>
                <w:szCs w:val="24"/>
                <w:shd w:val="clear" w:color="auto" w:fill="FFFFFF"/>
              </w:rPr>
              <w:t xml:space="preserve">. Nr. 40003547099, Meistaru iela 7, </w:t>
            </w:r>
            <w:proofErr w:type="spellStart"/>
            <w:r w:rsidRPr="00C44332">
              <w:rPr>
                <w:rFonts w:ascii="Times New Roman" w:hAnsi="Times New Roman" w:cs="Times New Roman"/>
                <w:sz w:val="24"/>
                <w:szCs w:val="24"/>
                <w:shd w:val="clear" w:color="auto" w:fill="FFFFFF"/>
              </w:rPr>
              <w:t>Valdlauči</w:t>
            </w:r>
            <w:proofErr w:type="spellEnd"/>
            <w:r w:rsidRPr="00C44332">
              <w:rPr>
                <w:rFonts w:ascii="Times New Roman" w:hAnsi="Times New Roman" w:cs="Times New Roman"/>
                <w:sz w:val="24"/>
                <w:szCs w:val="24"/>
                <w:shd w:val="clear" w:color="auto" w:fill="FFFFFF"/>
              </w:rPr>
              <w:t>, Ķekavas nov., LV – 1076</w:t>
            </w:r>
          </w:p>
        </w:tc>
        <w:tc>
          <w:tcPr>
            <w:tcW w:w="3089" w:type="dxa"/>
          </w:tcPr>
          <w:p w:rsidR="00D000DD" w:rsidRPr="00B30FDC" w:rsidRDefault="009D15B6" w:rsidP="00DA324E">
            <w:pPr>
              <w:spacing w:after="0" w:line="28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41910</w:t>
            </w:r>
            <w:r w:rsidR="00D000DD" w:rsidRPr="00324429">
              <w:rPr>
                <w:rFonts w:ascii="Times New Roman" w:eastAsia="Times New Roman" w:hAnsi="Times New Roman" w:cs="Times New Roman"/>
                <w:b/>
                <w:sz w:val="24"/>
                <w:szCs w:val="24"/>
              </w:rPr>
              <w:t>,00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D000DD">
        <w:rPr>
          <w:rFonts w:ascii="Times New Roman" w:eastAsia="Arial Unicode MS" w:hAnsi="Times New Roman" w:cs="Times New Roman"/>
          <w:kern w:val="1"/>
          <w:sz w:val="24"/>
          <w:szCs w:val="24"/>
          <w:lang w:eastAsia="ar-SA"/>
        </w:rPr>
        <w:t>1</w:t>
      </w:r>
      <w:r w:rsidR="009D15B6">
        <w:rPr>
          <w:rFonts w:ascii="Times New Roman" w:eastAsia="Arial Unicode MS" w:hAnsi="Times New Roman" w:cs="Times New Roman"/>
          <w:kern w:val="1"/>
          <w:sz w:val="24"/>
          <w:szCs w:val="24"/>
          <w:lang w:eastAsia="ar-SA"/>
        </w:rPr>
        <w:t>0</w:t>
      </w:r>
      <w:r w:rsidR="00D000DD">
        <w:rPr>
          <w:rFonts w:ascii="Times New Roman" w:eastAsia="Arial Unicode MS" w:hAnsi="Times New Roman" w:cs="Times New Roman"/>
          <w:kern w:val="1"/>
          <w:sz w:val="24"/>
          <w:szCs w:val="24"/>
          <w:lang w:eastAsia="ar-SA"/>
        </w:rPr>
        <w:t xml:space="preserve">. </w:t>
      </w:r>
      <w:r w:rsidR="009D15B6">
        <w:rPr>
          <w:rFonts w:ascii="Times New Roman" w:eastAsia="Arial Unicode MS" w:hAnsi="Times New Roman" w:cs="Times New Roman"/>
          <w:kern w:val="1"/>
          <w:sz w:val="24"/>
          <w:szCs w:val="24"/>
          <w:lang w:eastAsia="ar-SA"/>
        </w:rPr>
        <w:t>decem</w:t>
      </w:r>
      <w:r w:rsidR="00D000DD">
        <w:rPr>
          <w:rFonts w:ascii="Times New Roman" w:eastAsia="Arial Unicode MS" w:hAnsi="Times New Roman" w:cs="Times New Roman"/>
          <w:kern w:val="1"/>
          <w:sz w:val="24"/>
          <w:szCs w:val="24"/>
          <w:lang w:eastAsia="ar-SA"/>
        </w:rPr>
        <w:t>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6C6D3D" w:rsidRPr="00B30FDC" w:rsidTr="0078746C">
        <w:trPr>
          <w:trHeight w:val="562"/>
        </w:trPr>
        <w:tc>
          <w:tcPr>
            <w:tcW w:w="70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 xml:space="preserve">Pretendents, </w:t>
            </w:r>
            <w:proofErr w:type="spellStart"/>
            <w:r w:rsidRPr="00B30FDC">
              <w:rPr>
                <w:rFonts w:ascii="Times New Roman" w:eastAsia="Times New Roman" w:hAnsi="Times New Roman" w:cs="Times New Roman"/>
                <w:sz w:val="24"/>
                <w:szCs w:val="24"/>
              </w:rPr>
              <w:t>reģ</w:t>
            </w:r>
            <w:proofErr w:type="spellEnd"/>
            <w:r w:rsidRPr="00B30FDC">
              <w:rPr>
                <w:rFonts w:ascii="Times New Roman" w:eastAsia="Times New Roman" w:hAnsi="Times New Roman" w:cs="Times New Roman"/>
                <w:sz w:val="24"/>
                <w:szCs w:val="24"/>
              </w:rPr>
              <w:t>. Nr., adrese</w:t>
            </w:r>
          </w:p>
        </w:tc>
        <w:tc>
          <w:tcPr>
            <w:tcW w:w="308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20"/>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D000DD" w:rsidP="00DA324E">
            <w:pPr>
              <w:spacing w:after="0" w:line="280" w:lineRule="atLeast"/>
              <w:rPr>
                <w:rFonts w:ascii="Times New Roman" w:hAnsi="Times New Roman" w:cs="Times New Roman"/>
                <w:sz w:val="24"/>
                <w:szCs w:val="24"/>
              </w:rPr>
            </w:pPr>
            <w:r w:rsidRPr="00C44332">
              <w:rPr>
                <w:rFonts w:ascii="Times New Roman" w:hAnsi="Times New Roman" w:cs="Times New Roman"/>
                <w:sz w:val="24"/>
                <w:szCs w:val="24"/>
                <w:shd w:val="clear" w:color="auto" w:fill="FFFFFF"/>
              </w:rPr>
              <w:t>SIA “</w:t>
            </w:r>
            <w:proofErr w:type="spellStart"/>
            <w:r w:rsidRPr="00C44332">
              <w:rPr>
                <w:rFonts w:ascii="Times New Roman" w:hAnsi="Times New Roman" w:cs="Times New Roman"/>
                <w:sz w:val="24"/>
                <w:szCs w:val="24"/>
                <w:shd w:val="clear" w:color="auto" w:fill="FFFFFF"/>
              </w:rPr>
              <w:t>Arbor</w:t>
            </w:r>
            <w:proofErr w:type="spellEnd"/>
            <w:r w:rsidRPr="00C44332">
              <w:rPr>
                <w:rFonts w:ascii="Times New Roman" w:hAnsi="Times New Roman" w:cs="Times New Roman"/>
                <w:sz w:val="24"/>
                <w:szCs w:val="24"/>
                <w:shd w:val="clear" w:color="auto" w:fill="FFFFFF"/>
              </w:rPr>
              <w:t xml:space="preserve"> Medical Korporācija”, </w:t>
            </w:r>
            <w:proofErr w:type="spellStart"/>
            <w:r w:rsidRPr="00C44332">
              <w:rPr>
                <w:rFonts w:ascii="Times New Roman" w:hAnsi="Times New Roman" w:cs="Times New Roman"/>
                <w:sz w:val="24"/>
                <w:szCs w:val="24"/>
                <w:shd w:val="clear" w:color="auto" w:fill="FFFFFF"/>
              </w:rPr>
              <w:t>reģ</w:t>
            </w:r>
            <w:proofErr w:type="spellEnd"/>
            <w:r w:rsidRPr="00C44332">
              <w:rPr>
                <w:rFonts w:ascii="Times New Roman" w:hAnsi="Times New Roman" w:cs="Times New Roman"/>
                <w:sz w:val="24"/>
                <w:szCs w:val="24"/>
                <w:shd w:val="clear" w:color="auto" w:fill="FFFFFF"/>
              </w:rPr>
              <w:t xml:space="preserve">. Nr. 40003547099, Meistaru iela 7, </w:t>
            </w:r>
            <w:proofErr w:type="spellStart"/>
            <w:r w:rsidRPr="00C44332">
              <w:rPr>
                <w:rFonts w:ascii="Times New Roman" w:hAnsi="Times New Roman" w:cs="Times New Roman"/>
                <w:sz w:val="24"/>
                <w:szCs w:val="24"/>
                <w:shd w:val="clear" w:color="auto" w:fill="FFFFFF"/>
              </w:rPr>
              <w:t>Valdlauči</w:t>
            </w:r>
            <w:proofErr w:type="spellEnd"/>
            <w:r w:rsidRPr="00C44332">
              <w:rPr>
                <w:rFonts w:ascii="Times New Roman" w:hAnsi="Times New Roman" w:cs="Times New Roman"/>
                <w:sz w:val="24"/>
                <w:szCs w:val="24"/>
                <w:shd w:val="clear" w:color="auto" w:fill="FFFFFF"/>
              </w:rPr>
              <w:t>, Ķekavas nov., LV – 1076</w:t>
            </w:r>
          </w:p>
        </w:tc>
        <w:tc>
          <w:tcPr>
            <w:tcW w:w="3089" w:type="dxa"/>
          </w:tcPr>
          <w:p w:rsidR="00D000DD" w:rsidRPr="00B30FDC" w:rsidRDefault="009D15B6" w:rsidP="00DA324E">
            <w:pPr>
              <w:spacing w:after="0" w:line="28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41910</w:t>
            </w:r>
            <w:r w:rsidR="00D000DD" w:rsidRPr="00324429">
              <w:rPr>
                <w:rFonts w:ascii="Times New Roman" w:eastAsia="Times New Roman" w:hAnsi="Times New Roman" w:cs="Times New Roman"/>
                <w:b/>
                <w:sz w:val="24"/>
                <w:szCs w:val="24"/>
              </w:rPr>
              <w:t>,00</w:t>
            </w:r>
          </w:p>
        </w:tc>
      </w:tr>
    </w:tbl>
    <w:p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Pretendenta</w:t>
      </w:r>
      <w:r w:rsidR="009D02D0">
        <w:rPr>
          <w:rFonts w:ascii="Times New Roman" w:eastAsia="Times New Roman" w:hAnsi="Times New Roman" w:cs="Times New Roman"/>
          <w:bCs/>
          <w:sz w:val="24"/>
          <w:szCs w:val="24"/>
        </w:rPr>
        <w:t xml:space="preserve"> piedāvājumā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rsidR="007357A1" w:rsidRPr="00CD507F"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9D15B6">
        <w:rPr>
          <w:rFonts w:ascii="Times New Roman" w:eastAsia="Times New Roman" w:hAnsi="Times New Roman" w:cs="Times New Roman"/>
          <w:sz w:val="24"/>
          <w:szCs w:val="24"/>
        </w:rPr>
        <w:t>D. Kalniņš</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bookmarkStart w:id="0" w:name="_GoBack"/>
      <w:bookmarkEnd w:id="0"/>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D8" w:rsidRDefault="00E21DD8">
      <w:pPr>
        <w:spacing w:after="0" w:line="240" w:lineRule="auto"/>
      </w:pPr>
      <w:r>
        <w:separator/>
      </w:r>
    </w:p>
  </w:endnote>
  <w:endnote w:type="continuationSeparator" w:id="0">
    <w:p w:rsidR="00E21DD8" w:rsidRDefault="00E2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E21DD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9D15B6">
      <w:rPr>
        <w:rStyle w:val="Lappusesnumurs"/>
        <w:noProof/>
        <w:sz w:val="20"/>
        <w:szCs w:val="20"/>
      </w:rPr>
      <w:t>1</w:t>
    </w:r>
    <w:r w:rsidRPr="005A2340">
      <w:rPr>
        <w:rStyle w:val="Lappusesnumurs"/>
        <w:sz w:val="20"/>
        <w:szCs w:val="20"/>
      </w:rPr>
      <w:fldChar w:fldCharType="end"/>
    </w:r>
  </w:p>
  <w:p w:rsidR="002F0998" w:rsidRDefault="00E21DD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D8" w:rsidRDefault="00E21DD8">
      <w:pPr>
        <w:spacing w:after="0" w:line="240" w:lineRule="auto"/>
      </w:pPr>
      <w:r>
        <w:separator/>
      </w:r>
    </w:p>
  </w:footnote>
  <w:footnote w:type="continuationSeparator" w:id="0">
    <w:p w:rsidR="00E21DD8" w:rsidRDefault="00E2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F604B"/>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2"/>
  </w:num>
  <w:num w:numId="5">
    <w:abstractNumId w:val="17"/>
  </w:num>
  <w:num w:numId="6">
    <w:abstractNumId w:val="11"/>
  </w:num>
  <w:num w:numId="7">
    <w:abstractNumId w:val="15"/>
  </w:num>
  <w:num w:numId="8">
    <w:abstractNumId w:val="14"/>
  </w:num>
  <w:num w:numId="9">
    <w:abstractNumId w:val="5"/>
  </w:num>
  <w:num w:numId="10">
    <w:abstractNumId w:val="10"/>
  </w:num>
  <w:num w:numId="11">
    <w:abstractNumId w:val="1"/>
  </w:num>
  <w:num w:numId="12">
    <w:abstractNumId w:val="9"/>
  </w:num>
  <w:num w:numId="13">
    <w:abstractNumId w:val="13"/>
  </w:num>
  <w:num w:numId="14">
    <w:abstractNumId w:val="4"/>
  </w:num>
  <w:num w:numId="15">
    <w:abstractNumId w:val="7"/>
  </w:num>
  <w:num w:numId="16">
    <w:abstractNumId w:val="0"/>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61A82"/>
    <w:rsid w:val="00075BD0"/>
    <w:rsid w:val="000B7013"/>
    <w:rsid w:val="000E1BC1"/>
    <w:rsid w:val="00120B64"/>
    <w:rsid w:val="0012384B"/>
    <w:rsid w:val="00124741"/>
    <w:rsid w:val="00186D0C"/>
    <w:rsid w:val="001B2D2C"/>
    <w:rsid w:val="001D32C3"/>
    <w:rsid w:val="001F74E8"/>
    <w:rsid w:val="00200300"/>
    <w:rsid w:val="00213446"/>
    <w:rsid w:val="0025261D"/>
    <w:rsid w:val="00253731"/>
    <w:rsid w:val="00257E80"/>
    <w:rsid w:val="00276080"/>
    <w:rsid w:val="002A7B3D"/>
    <w:rsid w:val="002B5F5F"/>
    <w:rsid w:val="002C2F29"/>
    <w:rsid w:val="002E6017"/>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6F0AD7"/>
    <w:rsid w:val="0071300D"/>
    <w:rsid w:val="007357A1"/>
    <w:rsid w:val="00746A70"/>
    <w:rsid w:val="00793FDC"/>
    <w:rsid w:val="007E7852"/>
    <w:rsid w:val="00807F89"/>
    <w:rsid w:val="0082697C"/>
    <w:rsid w:val="00852CBF"/>
    <w:rsid w:val="008532E0"/>
    <w:rsid w:val="0085583F"/>
    <w:rsid w:val="008872AF"/>
    <w:rsid w:val="008A00F8"/>
    <w:rsid w:val="008A1FCD"/>
    <w:rsid w:val="008B06C8"/>
    <w:rsid w:val="008C75DC"/>
    <w:rsid w:val="008D64B9"/>
    <w:rsid w:val="008E7D8C"/>
    <w:rsid w:val="0090159B"/>
    <w:rsid w:val="00915F95"/>
    <w:rsid w:val="0092436F"/>
    <w:rsid w:val="00943CD3"/>
    <w:rsid w:val="00960932"/>
    <w:rsid w:val="009953FA"/>
    <w:rsid w:val="009A627F"/>
    <w:rsid w:val="009C4E45"/>
    <w:rsid w:val="009D02D0"/>
    <w:rsid w:val="009D15B6"/>
    <w:rsid w:val="009F3F7D"/>
    <w:rsid w:val="00A447FC"/>
    <w:rsid w:val="00A66745"/>
    <w:rsid w:val="00A95D60"/>
    <w:rsid w:val="00AD3F32"/>
    <w:rsid w:val="00B02FA3"/>
    <w:rsid w:val="00B151C8"/>
    <w:rsid w:val="00B17B07"/>
    <w:rsid w:val="00B31803"/>
    <w:rsid w:val="00B332A0"/>
    <w:rsid w:val="00B80CA3"/>
    <w:rsid w:val="00B8312F"/>
    <w:rsid w:val="00B93400"/>
    <w:rsid w:val="00B969E2"/>
    <w:rsid w:val="00BA5D03"/>
    <w:rsid w:val="00BB1D89"/>
    <w:rsid w:val="00BB69BB"/>
    <w:rsid w:val="00BD3FE6"/>
    <w:rsid w:val="00C156A8"/>
    <w:rsid w:val="00C17E4D"/>
    <w:rsid w:val="00C33BA1"/>
    <w:rsid w:val="00C36439"/>
    <w:rsid w:val="00C86926"/>
    <w:rsid w:val="00CD4492"/>
    <w:rsid w:val="00CD4668"/>
    <w:rsid w:val="00CD507F"/>
    <w:rsid w:val="00CF6AB5"/>
    <w:rsid w:val="00D000DD"/>
    <w:rsid w:val="00D2093E"/>
    <w:rsid w:val="00D215F7"/>
    <w:rsid w:val="00D21DFC"/>
    <w:rsid w:val="00D50BB5"/>
    <w:rsid w:val="00D57CD0"/>
    <w:rsid w:val="00D66383"/>
    <w:rsid w:val="00D7166A"/>
    <w:rsid w:val="00D92324"/>
    <w:rsid w:val="00DB6984"/>
    <w:rsid w:val="00DB6EBD"/>
    <w:rsid w:val="00DB7B3F"/>
    <w:rsid w:val="00DC2F43"/>
    <w:rsid w:val="00DF28BC"/>
    <w:rsid w:val="00E17E42"/>
    <w:rsid w:val="00E21DD8"/>
    <w:rsid w:val="00E54C18"/>
    <w:rsid w:val="00E841E8"/>
    <w:rsid w:val="00EB0AA9"/>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A748"/>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2594</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3</cp:revision>
  <cp:lastPrinted>2018-06-01T12:27:00Z</cp:lastPrinted>
  <dcterms:created xsi:type="dcterms:W3CDTF">2018-12-12T13:33:00Z</dcterms:created>
  <dcterms:modified xsi:type="dcterms:W3CDTF">2018-12-12T13:37:00Z</dcterms:modified>
</cp:coreProperties>
</file>