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377887" w:rsidTr="0004430F">
        <w:tc>
          <w:tcPr>
            <w:tcW w:w="1794" w:type="dxa"/>
            <w:tcBorders>
              <w:bottom w:val="dashDotStroked" w:sz="24" w:space="0" w:color="000080"/>
            </w:tcBorders>
            <w:tcMar>
              <w:left w:w="0" w:type="dxa"/>
              <w:right w:w="0" w:type="dxa"/>
            </w:tcMar>
          </w:tcPr>
          <w:p w:rsidR="00C90FFD" w:rsidRPr="00377887" w:rsidRDefault="00E82B75" w:rsidP="0004430F">
            <w:pPr>
              <w:pStyle w:val="Heade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9" o:title=""/>
                  <w10:wrap type="topAndBottom"/>
                </v:shape>
                <o:OLEObject Type="Embed" ProgID="Word.Picture.8" ShapeID="_x0000_s1026" DrawAspect="Content" ObjectID="_1546429719" r:id="rId10"/>
              </w:pict>
            </w:r>
            <w:r w:rsidR="008E4F48" w:rsidRPr="00377887">
              <w:t xml:space="preserve"> </w:t>
            </w:r>
            <w:r w:rsidR="00C90FFD" w:rsidRPr="00377887">
              <w:t xml:space="preserve">  </w:t>
            </w:r>
          </w:p>
        </w:tc>
        <w:tc>
          <w:tcPr>
            <w:tcW w:w="7590" w:type="dxa"/>
            <w:tcBorders>
              <w:bottom w:val="dashDotStroked" w:sz="24" w:space="0" w:color="000080"/>
            </w:tcBorders>
            <w:tcMar>
              <w:left w:w="0" w:type="dxa"/>
              <w:right w:w="0" w:type="dxa"/>
            </w:tcMar>
          </w:tcPr>
          <w:p w:rsidR="00C90FFD" w:rsidRPr="00377887" w:rsidRDefault="00C90FFD" w:rsidP="0004430F"/>
          <w:p w:rsidR="00C90FFD" w:rsidRPr="00377887" w:rsidRDefault="00C90FFD" w:rsidP="0004430F">
            <w:pPr>
              <w:jc w:val="center"/>
              <w:rPr>
                <w:b/>
                <w:bCs/>
              </w:rPr>
            </w:pPr>
            <w:r w:rsidRPr="00377887">
              <w:t>Valsts sabiedrība ar ierobežotu atbildību</w:t>
            </w:r>
          </w:p>
          <w:p w:rsidR="00C90FFD" w:rsidRPr="00377887" w:rsidRDefault="00C90FFD" w:rsidP="0004430F">
            <w:pPr>
              <w:pStyle w:val="Heading1"/>
              <w:jc w:val="center"/>
              <w:rPr>
                <w:color w:val="auto"/>
                <w:sz w:val="20"/>
                <w:szCs w:val="20"/>
              </w:rPr>
            </w:pPr>
            <w:r w:rsidRPr="00377887">
              <w:rPr>
                <w:color w:val="auto"/>
                <w:sz w:val="20"/>
                <w:szCs w:val="20"/>
              </w:rPr>
              <w:t>TRAUMATOLOĢIJAS UN ORTOPĒDIJAS SLIMNĪCA</w:t>
            </w:r>
          </w:p>
          <w:p w:rsidR="00C90FFD" w:rsidRPr="00377887" w:rsidRDefault="00C90FFD" w:rsidP="0004430F">
            <w:pPr>
              <w:ind w:left="33"/>
              <w:jc w:val="center"/>
            </w:pPr>
          </w:p>
          <w:p w:rsidR="00C90FFD" w:rsidRPr="00377887" w:rsidRDefault="00C90FFD" w:rsidP="0004430F">
            <w:pPr>
              <w:ind w:left="33"/>
            </w:pPr>
            <w:r w:rsidRPr="00377887">
              <w:t xml:space="preserve">       Duntes ielā 22, Rīgā, LV - 1005, reģistrācijas Nr.40003410729</w:t>
            </w:r>
          </w:p>
          <w:p w:rsidR="00C90FFD" w:rsidRPr="00377887" w:rsidRDefault="00C90FFD" w:rsidP="0004430F">
            <w:pPr>
              <w:pStyle w:val="Header"/>
            </w:pPr>
            <w:r w:rsidRPr="00377887">
              <w:t xml:space="preserve">                                     Tālrunis 67 399 300, fakss 67 392 348, e-pasts: </w:t>
            </w:r>
            <w:hyperlink r:id="rId11" w:history="1">
              <w:r w:rsidRPr="00377887">
                <w:rPr>
                  <w:rStyle w:val="Hyperlink"/>
                  <w:color w:val="auto"/>
                </w:rPr>
                <w:t>tos@tos.lv</w:t>
              </w:r>
            </w:hyperlink>
            <w:r w:rsidRPr="00377887">
              <w:t xml:space="preserve">, </w:t>
            </w:r>
            <w:r w:rsidRPr="00377887">
              <w:rPr>
                <w:u w:val="single"/>
              </w:rPr>
              <w:t>www.tos.lv</w:t>
            </w:r>
          </w:p>
          <w:p w:rsidR="00C90FFD" w:rsidRPr="00377887" w:rsidRDefault="00C90FFD" w:rsidP="0004430F">
            <w:pPr>
              <w:pStyle w:val="Header"/>
            </w:pPr>
          </w:p>
        </w:tc>
        <w:tc>
          <w:tcPr>
            <w:tcW w:w="1288" w:type="dxa"/>
            <w:tcBorders>
              <w:bottom w:val="dashDotStroked" w:sz="24" w:space="0" w:color="000080"/>
            </w:tcBorders>
            <w:tcMar>
              <w:left w:w="0" w:type="dxa"/>
              <w:right w:w="0" w:type="dxa"/>
            </w:tcMar>
          </w:tcPr>
          <w:p w:rsidR="00C90FFD" w:rsidRPr="00377887" w:rsidRDefault="00C90FFD" w:rsidP="0004430F">
            <w:pPr>
              <w:pStyle w:val="Header"/>
            </w:pPr>
          </w:p>
          <w:p w:rsidR="00C90FFD" w:rsidRPr="00377887" w:rsidRDefault="00C90FFD" w:rsidP="0004430F">
            <w:pPr>
              <w:pStyle w:val="Header"/>
            </w:pPr>
          </w:p>
        </w:tc>
      </w:tr>
    </w:tbl>
    <w:p w:rsidR="0020186F" w:rsidRPr="00885FAC" w:rsidRDefault="0020186F" w:rsidP="0020186F">
      <w:pPr>
        <w:spacing w:line="360" w:lineRule="auto"/>
        <w:ind w:firstLine="720"/>
        <w:jc w:val="center"/>
        <w:rPr>
          <w:b/>
          <w:color w:val="00B050"/>
          <w:sz w:val="16"/>
          <w:szCs w:val="16"/>
        </w:rPr>
      </w:pPr>
    </w:p>
    <w:p w:rsidR="006E6CEF" w:rsidRPr="009D6413" w:rsidRDefault="00526A5C" w:rsidP="00DC72F8">
      <w:pPr>
        <w:spacing w:line="360" w:lineRule="auto"/>
        <w:ind w:firstLine="720"/>
        <w:jc w:val="center"/>
        <w:rPr>
          <w:b/>
          <w:sz w:val="22"/>
          <w:szCs w:val="22"/>
        </w:rPr>
      </w:pPr>
      <w:r w:rsidRPr="009D6413">
        <w:rPr>
          <w:b/>
          <w:sz w:val="22"/>
          <w:szCs w:val="22"/>
        </w:rPr>
        <w:t>VADĪBAS ZIŅOJUMS PAR VSIA „TRAUMATOLOĢIJAS UN ORTOPĒDIJAS SLIMNĪCA” REZULA</w:t>
      </w:r>
      <w:r w:rsidR="004128A7" w:rsidRPr="009D6413">
        <w:rPr>
          <w:b/>
          <w:sz w:val="22"/>
          <w:szCs w:val="22"/>
        </w:rPr>
        <w:t>TATĪVAJIEM RĀDĪTĀJIEM 2016</w:t>
      </w:r>
      <w:r w:rsidR="00506187" w:rsidRPr="009D6413">
        <w:rPr>
          <w:b/>
          <w:sz w:val="22"/>
          <w:szCs w:val="22"/>
        </w:rPr>
        <w:t xml:space="preserve">.GADA JANVĀRĪ </w:t>
      </w:r>
      <w:r w:rsidR="009D1521" w:rsidRPr="009D6413">
        <w:rPr>
          <w:b/>
          <w:sz w:val="22"/>
          <w:szCs w:val="22"/>
        </w:rPr>
        <w:t>–</w:t>
      </w:r>
      <w:r w:rsidR="00506187" w:rsidRPr="009D6413">
        <w:rPr>
          <w:b/>
          <w:sz w:val="22"/>
          <w:szCs w:val="22"/>
        </w:rPr>
        <w:t xml:space="preserve"> </w:t>
      </w:r>
      <w:r w:rsidR="00885FAC" w:rsidRPr="009D6413">
        <w:rPr>
          <w:b/>
          <w:sz w:val="22"/>
          <w:szCs w:val="22"/>
        </w:rPr>
        <w:t>SEPTEMBRĪ</w:t>
      </w:r>
    </w:p>
    <w:p w:rsidR="004128A7" w:rsidRPr="009D6413" w:rsidRDefault="004128A7" w:rsidP="0059136F">
      <w:pPr>
        <w:spacing w:line="360" w:lineRule="auto"/>
        <w:ind w:firstLine="720"/>
        <w:jc w:val="both"/>
        <w:rPr>
          <w:sz w:val="22"/>
          <w:szCs w:val="22"/>
        </w:rPr>
      </w:pPr>
    </w:p>
    <w:p w:rsidR="00885FAC" w:rsidRPr="00987D91" w:rsidRDefault="00885FAC" w:rsidP="00885FAC">
      <w:pPr>
        <w:spacing w:line="360" w:lineRule="auto"/>
        <w:ind w:firstLine="720"/>
        <w:jc w:val="both"/>
        <w:rPr>
          <w:sz w:val="22"/>
          <w:szCs w:val="22"/>
        </w:rPr>
      </w:pPr>
      <w:r w:rsidRPr="00987D91">
        <w:rPr>
          <w:sz w:val="22"/>
          <w:szCs w:val="22"/>
        </w:rPr>
        <w:t>Apkopojot finansu un statistikas datus  par 2016.gada janvāra - septembra rezultatīvajiem rādītājiem, atzīmējam, ka VSIA „Traumatoloģijas un ortopēdijas slimnīcas” (turpmāk tekstā – Slimnīca) saimnieciskā un ārstnieciskā darbība kopumā šajā laika periodā  ir bijusi apmierinoša. Neatliekamā palīdzība visa perioda laikā pacientiem tika nodrošināta pilnā apjom</w:t>
      </w:r>
      <w:r w:rsidR="00C70ED4" w:rsidRPr="00987D91">
        <w:rPr>
          <w:sz w:val="22"/>
          <w:szCs w:val="22"/>
        </w:rPr>
        <w:t xml:space="preserve">ā un  plānveida palīdzība </w:t>
      </w:r>
      <w:r w:rsidR="00350C91">
        <w:rPr>
          <w:sz w:val="22"/>
          <w:szCs w:val="22"/>
        </w:rPr>
        <w:t>vadoties no savstarpēji noslēgtajā līgumā</w:t>
      </w:r>
      <w:r w:rsidR="00C70ED4" w:rsidRPr="00987D91">
        <w:rPr>
          <w:sz w:val="22"/>
          <w:szCs w:val="22"/>
        </w:rPr>
        <w:t xml:space="preserve"> ar Nacionālo veselības dienestu</w:t>
      </w:r>
      <w:r w:rsidR="00350C91">
        <w:rPr>
          <w:sz w:val="22"/>
          <w:szCs w:val="22"/>
        </w:rPr>
        <w:t xml:space="preserve"> noteiktajiem apjomiem</w:t>
      </w:r>
      <w:r w:rsidRPr="00987D91">
        <w:rPr>
          <w:sz w:val="22"/>
          <w:szCs w:val="22"/>
        </w:rPr>
        <w:t xml:space="preserve">. </w:t>
      </w:r>
    </w:p>
    <w:p w:rsidR="00885FAC" w:rsidRPr="004506D4" w:rsidRDefault="00885FAC" w:rsidP="00C70ED4">
      <w:pPr>
        <w:spacing w:line="360" w:lineRule="auto"/>
        <w:ind w:firstLine="720"/>
        <w:jc w:val="both"/>
        <w:rPr>
          <w:sz w:val="22"/>
          <w:szCs w:val="22"/>
        </w:rPr>
      </w:pPr>
      <w:r w:rsidRPr="004506D4">
        <w:rPr>
          <w:sz w:val="22"/>
          <w:szCs w:val="22"/>
        </w:rPr>
        <w:t xml:space="preserve">Kopējie budžeta tāmes ieņēmumi 2016.gada janvārī – </w:t>
      </w:r>
      <w:r w:rsidR="00C70ED4" w:rsidRPr="004506D4">
        <w:rPr>
          <w:sz w:val="22"/>
          <w:szCs w:val="22"/>
        </w:rPr>
        <w:t>septembrī ir izpildīti 9 172 169</w:t>
      </w:r>
      <w:r w:rsidRPr="004506D4">
        <w:rPr>
          <w:sz w:val="22"/>
          <w:szCs w:val="22"/>
        </w:rPr>
        <w:t xml:space="preserve"> EUR apmērā, kas ir par </w:t>
      </w:r>
      <w:r w:rsidR="00C70ED4" w:rsidRPr="004506D4">
        <w:rPr>
          <w:sz w:val="22"/>
          <w:szCs w:val="22"/>
        </w:rPr>
        <w:t>123 587</w:t>
      </w:r>
      <w:r w:rsidRPr="004506D4">
        <w:rPr>
          <w:sz w:val="22"/>
          <w:szCs w:val="22"/>
        </w:rPr>
        <w:t xml:space="preserve">  EUR </w:t>
      </w:r>
      <w:r w:rsidR="00C70ED4" w:rsidRPr="004506D4">
        <w:rPr>
          <w:sz w:val="22"/>
          <w:szCs w:val="22"/>
        </w:rPr>
        <w:t>mazāk</w:t>
      </w:r>
      <w:r w:rsidRPr="004506D4">
        <w:rPr>
          <w:sz w:val="22"/>
          <w:szCs w:val="22"/>
        </w:rPr>
        <w:t xml:space="preserve"> kā sākotnēji plānots, savukārt, kopējie izdevumi sastāda </w:t>
      </w:r>
      <w:r w:rsidR="00C70ED4" w:rsidRPr="004506D4">
        <w:rPr>
          <w:sz w:val="22"/>
          <w:szCs w:val="22"/>
        </w:rPr>
        <w:t>9 492 526 EUR  un ir par  291 866</w:t>
      </w:r>
      <w:r w:rsidRPr="004506D4">
        <w:rPr>
          <w:sz w:val="22"/>
          <w:szCs w:val="22"/>
        </w:rPr>
        <w:t xml:space="preserve"> EUR vairāk kā sākotnēji plānots. Slimnīcas zaudējumi 2016.gada janvār</w:t>
      </w:r>
      <w:r w:rsidR="00F52382" w:rsidRPr="004506D4">
        <w:rPr>
          <w:sz w:val="22"/>
          <w:szCs w:val="22"/>
        </w:rPr>
        <w:t>ī – septembrī  ir  276 156</w:t>
      </w:r>
      <w:r w:rsidR="00C70ED4" w:rsidRPr="004506D4">
        <w:rPr>
          <w:sz w:val="22"/>
          <w:szCs w:val="22"/>
        </w:rPr>
        <w:t xml:space="preserve"> EUR.</w:t>
      </w:r>
    </w:p>
    <w:p w:rsidR="00885FAC" w:rsidRPr="00987D91" w:rsidRDefault="00885FAC" w:rsidP="00C70ED4">
      <w:pPr>
        <w:spacing w:line="360" w:lineRule="auto"/>
        <w:ind w:firstLine="720"/>
        <w:jc w:val="both"/>
        <w:rPr>
          <w:sz w:val="22"/>
          <w:szCs w:val="22"/>
        </w:rPr>
      </w:pPr>
      <w:r w:rsidRPr="004506D4">
        <w:rPr>
          <w:sz w:val="22"/>
          <w:szCs w:val="22"/>
        </w:rPr>
        <w:t xml:space="preserve">Ieņēmumu sadaļā </w:t>
      </w:r>
      <w:r w:rsidR="00C70ED4" w:rsidRPr="004506D4">
        <w:rPr>
          <w:sz w:val="22"/>
          <w:szCs w:val="22"/>
        </w:rPr>
        <w:t>lielākā novirze no sākotnēji plānotā ir sadaļās: valsts apmaksātie veselības aprūpes pakalpojumi ambulatorai palīdzībai ( - 27 311 EUR ), ieņēmumiem par maksas sniegtajiem veselības aprūpes pakalpojumiem ( - 48</w:t>
      </w:r>
      <w:r w:rsidR="008F715D" w:rsidRPr="004506D4">
        <w:rPr>
          <w:sz w:val="22"/>
          <w:szCs w:val="22"/>
        </w:rPr>
        <w:t> </w:t>
      </w:r>
      <w:r w:rsidR="00C70ED4" w:rsidRPr="004506D4">
        <w:rPr>
          <w:sz w:val="22"/>
          <w:szCs w:val="22"/>
        </w:rPr>
        <w:t>78</w:t>
      </w:r>
      <w:r w:rsidR="008F715D" w:rsidRPr="004506D4">
        <w:rPr>
          <w:sz w:val="22"/>
          <w:szCs w:val="22"/>
        </w:rPr>
        <w:t>6 EUR )</w:t>
      </w:r>
      <w:r w:rsidR="00C70ED4" w:rsidRPr="004506D4">
        <w:rPr>
          <w:sz w:val="22"/>
          <w:szCs w:val="22"/>
        </w:rPr>
        <w:t xml:space="preserve"> un ieņēmumiem par endoprotezēšanu ar 50% apmaksu</w:t>
      </w:r>
      <w:r w:rsidR="008F715D" w:rsidRPr="004506D4">
        <w:rPr>
          <w:sz w:val="22"/>
          <w:szCs w:val="22"/>
        </w:rPr>
        <w:t xml:space="preserve"> ( - 72 211 EUR )</w:t>
      </w:r>
      <w:r w:rsidR="00C70ED4" w:rsidRPr="004506D4">
        <w:rPr>
          <w:sz w:val="22"/>
          <w:szCs w:val="22"/>
        </w:rPr>
        <w:t>.</w:t>
      </w:r>
      <w:r w:rsidR="000F5C1C" w:rsidRPr="004506D4">
        <w:rPr>
          <w:sz w:val="22"/>
          <w:szCs w:val="22"/>
        </w:rPr>
        <w:t xml:space="preserve"> Ambulatoro veselības aprūpes pakalpojumu </w:t>
      </w:r>
      <w:r w:rsidR="000F5C1C">
        <w:rPr>
          <w:sz w:val="22"/>
          <w:szCs w:val="22"/>
        </w:rPr>
        <w:t>sniegšanai līgumā ar Nacionālo veselības dienestu 2016.gadam samazinājums</w:t>
      </w:r>
      <w:r w:rsidR="00F364B7">
        <w:rPr>
          <w:sz w:val="22"/>
          <w:szCs w:val="22"/>
        </w:rPr>
        <w:t xml:space="preserve"> salīdzinot ar 2015.gadu </w:t>
      </w:r>
      <w:r w:rsidR="000F5C1C">
        <w:rPr>
          <w:sz w:val="22"/>
          <w:szCs w:val="22"/>
        </w:rPr>
        <w:t xml:space="preserve"> – EUR 46 287, līgums tika noslēgts 2016.gada 17.martā.  Uz budžeta sastādīšanas brīdi līguma summa gada sākuma četriem mēnešiem par to neliecināja.</w:t>
      </w:r>
      <w:r w:rsidR="000A587F">
        <w:rPr>
          <w:sz w:val="22"/>
          <w:szCs w:val="22"/>
        </w:rPr>
        <w:t xml:space="preserve"> </w:t>
      </w:r>
      <w:r w:rsidR="00F364B7">
        <w:rPr>
          <w:sz w:val="22"/>
          <w:szCs w:val="22"/>
        </w:rPr>
        <w:t>Programma e</w:t>
      </w:r>
      <w:r w:rsidR="000A587F">
        <w:rPr>
          <w:sz w:val="22"/>
          <w:szCs w:val="22"/>
        </w:rPr>
        <w:t>ndoprotezēšana ar 50 % apmaksu</w:t>
      </w:r>
      <w:r w:rsidR="00F364B7">
        <w:rPr>
          <w:sz w:val="22"/>
          <w:szCs w:val="22"/>
        </w:rPr>
        <w:t xml:space="preserve"> nepildās sākotnēji plānotajos apjomos, uz doto brīdi norit programmu izpildes salīdzināšanas un ir plānots šo finansējumu novirzīt plānveida pakalpojumiem. </w:t>
      </w:r>
      <w:r w:rsidR="000A587F">
        <w:rPr>
          <w:sz w:val="22"/>
          <w:szCs w:val="22"/>
        </w:rPr>
        <w:t xml:space="preserve"> </w:t>
      </w:r>
    </w:p>
    <w:p w:rsidR="00885FAC" w:rsidRPr="00987D91" w:rsidRDefault="00885FAC" w:rsidP="002110E4">
      <w:pPr>
        <w:spacing w:line="360" w:lineRule="auto"/>
        <w:ind w:firstLine="720"/>
        <w:jc w:val="both"/>
        <w:rPr>
          <w:sz w:val="22"/>
          <w:szCs w:val="22"/>
        </w:rPr>
      </w:pPr>
      <w:r w:rsidRPr="00987D91">
        <w:rPr>
          <w:sz w:val="22"/>
          <w:szCs w:val="22"/>
        </w:rPr>
        <w:t xml:space="preserve">Izdevumu sadaļas lielākais palielinājums ietver izdevumu pieaugumu </w:t>
      </w:r>
      <w:r w:rsidR="002110E4" w:rsidRPr="00987D91">
        <w:rPr>
          <w:sz w:val="22"/>
          <w:szCs w:val="22"/>
        </w:rPr>
        <w:t>darbinieku atlīdzībai</w:t>
      </w:r>
      <w:r w:rsidR="008366F5" w:rsidRPr="00987D91">
        <w:rPr>
          <w:sz w:val="22"/>
          <w:szCs w:val="22"/>
        </w:rPr>
        <w:t xml:space="preserve">  ( 51 004 EUR )</w:t>
      </w:r>
      <w:r w:rsidR="002110E4" w:rsidRPr="00987D91">
        <w:rPr>
          <w:sz w:val="22"/>
          <w:szCs w:val="22"/>
        </w:rPr>
        <w:t xml:space="preserve">, </w:t>
      </w:r>
      <w:r w:rsidRPr="00987D91">
        <w:rPr>
          <w:sz w:val="22"/>
          <w:szCs w:val="22"/>
        </w:rPr>
        <w:t>pievienotās vērtības nodokļu maksājumiem</w:t>
      </w:r>
      <w:r w:rsidR="008366F5" w:rsidRPr="00987D91">
        <w:rPr>
          <w:sz w:val="22"/>
          <w:szCs w:val="22"/>
        </w:rPr>
        <w:t xml:space="preserve"> ( 19 956 EUR)</w:t>
      </w:r>
      <w:r w:rsidRPr="00987D91">
        <w:rPr>
          <w:sz w:val="22"/>
          <w:szCs w:val="22"/>
        </w:rPr>
        <w:t>, izd</w:t>
      </w:r>
      <w:r w:rsidR="002110E4" w:rsidRPr="00987D91">
        <w:rPr>
          <w:sz w:val="22"/>
          <w:szCs w:val="22"/>
        </w:rPr>
        <w:t>evumiem par zālēm un implantiem</w:t>
      </w:r>
      <w:r w:rsidR="008366F5" w:rsidRPr="00987D91">
        <w:rPr>
          <w:sz w:val="22"/>
          <w:szCs w:val="22"/>
        </w:rPr>
        <w:t xml:space="preserve"> ( 205 024 EUR )</w:t>
      </w:r>
      <w:r w:rsidR="00350C91">
        <w:rPr>
          <w:sz w:val="22"/>
          <w:szCs w:val="22"/>
        </w:rPr>
        <w:t>, kam iepirkumu procedūru rezultātā ir tendence ik gadu pieaugt, taču pakalpojumu tarifos tas netiek ierēķināts. Medicīnas preču cenas nosaka piegādātāji iepirkumu procedūru rezultātā un Slimnīca to ietekmēt nespēj. Attiecīgi šī procesa rezultātā pieaug arī nodokļu maksājumi.</w:t>
      </w:r>
      <w:r w:rsidRPr="00987D91">
        <w:rPr>
          <w:sz w:val="22"/>
          <w:szCs w:val="22"/>
        </w:rPr>
        <w:t xml:space="preserve"> </w:t>
      </w:r>
    </w:p>
    <w:p w:rsidR="00885FAC" w:rsidRPr="00987D91" w:rsidRDefault="008366F5" w:rsidP="008366F5">
      <w:pPr>
        <w:spacing w:line="360" w:lineRule="auto"/>
        <w:ind w:firstLine="720"/>
        <w:jc w:val="both"/>
        <w:rPr>
          <w:sz w:val="22"/>
          <w:szCs w:val="22"/>
        </w:rPr>
      </w:pPr>
      <w:r w:rsidRPr="00987D91">
        <w:rPr>
          <w:sz w:val="22"/>
          <w:szCs w:val="22"/>
        </w:rPr>
        <w:t>Izvērtējot 2016.gada deviņu mēnešu</w:t>
      </w:r>
      <w:r w:rsidR="00885FAC" w:rsidRPr="00987D91">
        <w:rPr>
          <w:sz w:val="22"/>
          <w:szCs w:val="22"/>
        </w:rPr>
        <w:t xml:space="preserve"> finansiālos rādītājus, </w:t>
      </w:r>
      <w:r w:rsidRPr="00987D91">
        <w:rPr>
          <w:sz w:val="22"/>
          <w:szCs w:val="22"/>
        </w:rPr>
        <w:t>var atzīmēt, ka budžeta izpilde nav vērtējama atbilstoši plānotajam.</w:t>
      </w:r>
      <w:r w:rsidR="00885FAC" w:rsidRPr="00987D91">
        <w:rPr>
          <w:sz w:val="22"/>
          <w:szCs w:val="22"/>
        </w:rPr>
        <w:t xml:space="preserve"> </w:t>
      </w:r>
      <w:r w:rsidR="00761F83" w:rsidRPr="00987D91">
        <w:rPr>
          <w:sz w:val="22"/>
          <w:szCs w:val="22"/>
        </w:rPr>
        <w:t xml:space="preserve">2016.gada pēdējā ceturksnī budžeta tāmē tiks veikti grozījumi, lai iespēju robežās ieņēmumi tiktu sabalansēti ar izdevumiem. Uz doto brīdi ir pārskatīti saimniecības un medicīnas preču limiti struktūrvienībām, veikti pasākumi, lai palielinātu ieņēmumus par maksas pakalpojumiem, kā arī vestas sarunas ar Nacionālo veselības dienestu </w:t>
      </w:r>
      <w:r w:rsidR="00761F83" w:rsidRPr="00987D91">
        <w:rPr>
          <w:sz w:val="22"/>
          <w:szCs w:val="22"/>
        </w:rPr>
        <w:lastRenderedPageBreak/>
        <w:t>papildus finansējuma piešķiršanai revīzijas endoprotezēšanas operācijām, ka</w:t>
      </w:r>
      <w:r w:rsidR="004A7D27">
        <w:rPr>
          <w:sz w:val="22"/>
          <w:szCs w:val="22"/>
        </w:rPr>
        <w:t>s</w:t>
      </w:r>
      <w:r w:rsidR="00761F83" w:rsidRPr="00987D91">
        <w:rPr>
          <w:sz w:val="22"/>
          <w:szCs w:val="22"/>
        </w:rPr>
        <w:t xml:space="preserve"> šobrīd ir veiktas virs līgumā noteiktā skaita pacientiem, kuriem tās bija nepieciešamas neatliekamā kārtā.</w:t>
      </w:r>
    </w:p>
    <w:p w:rsidR="00885FAC" w:rsidRPr="00987D91" w:rsidRDefault="008D2A81" w:rsidP="00885FAC">
      <w:pPr>
        <w:spacing w:line="360" w:lineRule="auto"/>
        <w:ind w:firstLine="720"/>
        <w:jc w:val="both"/>
        <w:rPr>
          <w:sz w:val="22"/>
          <w:szCs w:val="22"/>
        </w:rPr>
      </w:pPr>
      <w:r>
        <w:rPr>
          <w:sz w:val="22"/>
          <w:szCs w:val="22"/>
        </w:rPr>
        <w:t>Ņemot vērā, ka š.g. sākumā vairā</w:t>
      </w:r>
      <w:r w:rsidR="00885FAC" w:rsidRPr="00987D91">
        <w:rPr>
          <w:sz w:val="22"/>
          <w:szCs w:val="22"/>
        </w:rPr>
        <w:t>kkārt tika papildināta budžeta tāmes atskaites forma, attiecīgi papildinot to ar jaunām pozīcijām, ne visi rādītāji atskaitē ir salīdzināmi pēc būtības, jo iesniedzot plānoto budžetu 2016.gadam, tie atsevišķi nebija izdalīti.</w:t>
      </w:r>
    </w:p>
    <w:p w:rsidR="00191F1D" w:rsidRPr="008D2A81" w:rsidRDefault="00885FAC" w:rsidP="008D2A81">
      <w:pPr>
        <w:pStyle w:val="ListParagraph"/>
        <w:spacing w:line="360" w:lineRule="auto"/>
        <w:ind w:left="0" w:firstLine="720"/>
        <w:jc w:val="both"/>
        <w:rPr>
          <w:sz w:val="22"/>
          <w:szCs w:val="22"/>
        </w:rPr>
      </w:pPr>
      <w:r w:rsidRPr="00987D91">
        <w:rPr>
          <w:sz w:val="22"/>
          <w:szCs w:val="22"/>
        </w:rPr>
        <w:t>Lai gūtu priekšstatu par 2016.gada janvārī – septembrī sniegtajiem medicīnas pakalpojumu apjomiem un to statistikas datiem, kā arī veiktajām aktivitātēm Slimnīcas saimnieciskās darbības nodrošināšanā, apkopojumu lūdzam skatīt zemāk pievienotajās tabulās un tekstā.</w:t>
      </w:r>
    </w:p>
    <w:p w:rsidR="00191F1D" w:rsidRPr="00377887" w:rsidRDefault="00191F1D" w:rsidP="00E81CCB">
      <w:pPr>
        <w:jc w:val="both"/>
        <w:rPr>
          <w:b/>
          <w:bCs/>
          <w:u w:val="single"/>
        </w:rPr>
      </w:pPr>
    </w:p>
    <w:p w:rsidR="00E81CCB" w:rsidRPr="009C7215" w:rsidRDefault="00E81CCB" w:rsidP="00E81CCB">
      <w:pPr>
        <w:jc w:val="both"/>
        <w:rPr>
          <w:b/>
          <w:i/>
          <w:noProof/>
        </w:rPr>
      </w:pPr>
      <w:r w:rsidRPr="009C7215">
        <w:rPr>
          <w:b/>
          <w:bCs/>
          <w:u w:val="single"/>
        </w:rPr>
        <w:t>Stacionāro pacientu skaits sadalījumā: maksas pacienti un valsts apmaksājamie pacienti</w:t>
      </w:r>
    </w:p>
    <w:p w:rsidR="007476F5" w:rsidRPr="009C7215" w:rsidRDefault="007476F5" w:rsidP="007476F5">
      <w:pPr>
        <w:jc w:val="both"/>
        <w:rPr>
          <w:b/>
          <w:i/>
          <w:noProof/>
        </w:rPr>
      </w:pPr>
    </w:p>
    <w:tbl>
      <w:tblPr>
        <w:tblW w:w="8472" w:type="dxa"/>
        <w:tblLayout w:type="fixed"/>
        <w:tblLook w:val="00A0" w:firstRow="1" w:lastRow="0" w:firstColumn="1" w:lastColumn="0" w:noHBand="0" w:noVBand="0"/>
      </w:tblPr>
      <w:tblGrid>
        <w:gridCol w:w="2093"/>
        <w:gridCol w:w="1415"/>
        <w:gridCol w:w="1275"/>
        <w:gridCol w:w="1275"/>
        <w:gridCol w:w="2414"/>
      </w:tblGrid>
      <w:tr w:rsidR="009C7215" w:rsidRPr="009C7215" w:rsidTr="00F60842">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7476F5" w:rsidRPr="009C7215" w:rsidRDefault="007476F5" w:rsidP="00984AD4">
            <w:pPr>
              <w:jc w:val="center"/>
              <w:rPr>
                <w:rFonts w:asciiTheme="majorBidi" w:hAnsiTheme="majorBidi" w:cstheme="majorBidi"/>
              </w:rPr>
            </w:pPr>
            <w:r w:rsidRPr="009C7215">
              <w:rPr>
                <w:rFonts w:asciiTheme="majorBidi" w:hAnsiTheme="majorBidi" w:cstheme="majorBidi"/>
              </w:rPr>
              <w:t>Periods</w:t>
            </w:r>
          </w:p>
          <w:p w:rsidR="007476F5" w:rsidRPr="009C7215" w:rsidRDefault="007476F5" w:rsidP="00984AD4">
            <w:pPr>
              <w:jc w:val="center"/>
              <w:rPr>
                <w:rFonts w:asciiTheme="majorBidi" w:hAnsiTheme="majorBidi" w:cstheme="majorBidi"/>
              </w:rPr>
            </w:pPr>
            <w:r w:rsidRPr="009C7215">
              <w:rPr>
                <w:rFonts w:asciiTheme="majorBidi" w:hAnsiTheme="majorBidi" w:cstheme="majorBidi"/>
              </w:rPr>
              <w:t> </w:t>
            </w:r>
          </w:p>
        </w:tc>
        <w:tc>
          <w:tcPr>
            <w:tcW w:w="1415" w:type="dxa"/>
            <w:tcBorders>
              <w:top w:val="single" w:sz="4" w:space="0" w:color="auto"/>
              <w:left w:val="nil"/>
              <w:bottom w:val="double" w:sz="6" w:space="0" w:color="auto"/>
              <w:right w:val="single" w:sz="4" w:space="0" w:color="auto"/>
            </w:tcBorders>
            <w:shd w:val="clear" w:color="auto" w:fill="D8D8D8"/>
            <w:vAlign w:val="center"/>
            <w:hideMark/>
          </w:tcPr>
          <w:p w:rsidR="007476F5" w:rsidRPr="009C7215" w:rsidRDefault="007476F5" w:rsidP="00984AD4">
            <w:pPr>
              <w:jc w:val="center"/>
              <w:rPr>
                <w:rFonts w:asciiTheme="majorBidi" w:hAnsiTheme="majorBidi" w:cstheme="majorBidi"/>
              </w:rPr>
            </w:pPr>
            <w:r w:rsidRPr="009C7215">
              <w:rPr>
                <w:rFonts w:asciiTheme="majorBidi" w:hAnsiTheme="majorBidi" w:cstheme="majorBidi"/>
              </w:rPr>
              <w:t>Valsts apmaksājamie</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7476F5" w:rsidRPr="009C7215" w:rsidRDefault="007476F5" w:rsidP="00984AD4">
            <w:pPr>
              <w:jc w:val="center"/>
              <w:rPr>
                <w:rFonts w:asciiTheme="majorBidi" w:hAnsiTheme="majorBidi" w:cstheme="majorBidi"/>
              </w:rPr>
            </w:pPr>
            <w:r w:rsidRPr="009C7215">
              <w:rPr>
                <w:rFonts w:asciiTheme="majorBidi" w:hAnsiTheme="majorBidi" w:cstheme="majorBidi"/>
              </w:rPr>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7476F5" w:rsidRPr="009C7215" w:rsidRDefault="007476F5" w:rsidP="00984AD4">
            <w:pPr>
              <w:jc w:val="center"/>
              <w:rPr>
                <w:rFonts w:asciiTheme="majorBidi" w:hAnsiTheme="majorBidi" w:cstheme="majorBidi"/>
              </w:rPr>
            </w:pPr>
            <w:r w:rsidRPr="009C7215">
              <w:rPr>
                <w:rFonts w:asciiTheme="majorBidi" w:hAnsiTheme="majorBidi" w:cstheme="majorBidi"/>
              </w:rPr>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rsidR="007476F5" w:rsidRPr="009C7215" w:rsidRDefault="007476F5" w:rsidP="00984AD4">
            <w:pPr>
              <w:jc w:val="center"/>
              <w:rPr>
                <w:rFonts w:asciiTheme="majorBidi" w:hAnsiTheme="majorBidi" w:cstheme="majorBidi"/>
              </w:rPr>
            </w:pPr>
            <w:r w:rsidRPr="009C7215">
              <w:rPr>
                <w:rFonts w:asciiTheme="majorBidi" w:hAnsiTheme="majorBidi" w:cstheme="majorBidi"/>
              </w:rPr>
              <w:t>Maksas pacientu īpatsvars no kopā ārstētajiem (%)</w:t>
            </w:r>
          </w:p>
        </w:tc>
      </w:tr>
      <w:tr w:rsidR="00400FAB" w:rsidRPr="009C7215" w:rsidTr="00E81CCB">
        <w:trPr>
          <w:trHeight w:val="390"/>
        </w:trPr>
        <w:tc>
          <w:tcPr>
            <w:tcW w:w="2093" w:type="dxa"/>
            <w:tcBorders>
              <w:top w:val="nil"/>
              <w:left w:val="single" w:sz="4" w:space="0" w:color="auto"/>
              <w:bottom w:val="single" w:sz="4" w:space="0" w:color="auto"/>
              <w:right w:val="single" w:sz="4" w:space="0" w:color="auto"/>
            </w:tcBorders>
            <w:noWrap/>
            <w:vAlign w:val="center"/>
            <w:hideMark/>
          </w:tcPr>
          <w:p w:rsidR="00400FAB" w:rsidRPr="009C7215" w:rsidRDefault="00400FAB" w:rsidP="00400FAB">
            <w:pPr>
              <w:jc w:val="center"/>
              <w:rPr>
                <w:rFonts w:asciiTheme="majorBidi" w:hAnsiTheme="majorBidi" w:cstheme="majorBidi"/>
              </w:rPr>
            </w:pPr>
            <w:r w:rsidRPr="009C7215">
              <w:rPr>
                <w:rFonts w:asciiTheme="majorBidi" w:hAnsiTheme="majorBidi" w:cstheme="majorBidi"/>
              </w:rPr>
              <w:t>2016. gada janvārī - septembrī</w:t>
            </w:r>
          </w:p>
        </w:tc>
        <w:tc>
          <w:tcPr>
            <w:tcW w:w="1415" w:type="dxa"/>
            <w:tcBorders>
              <w:top w:val="nil"/>
              <w:left w:val="nil"/>
              <w:bottom w:val="single" w:sz="4" w:space="0" w:color="auto"/>
              <w:right w:val="single" w:sz="4" w:space="0" w:color="auto"/>
            </w:tcBorders>
            <w:noWrap/>
            <w:vAlign w:val="center"/>
          </w:tcPr>
          <w:p w:rsidR="00400FAB" w:rsidRPr="009C7215" w:rsidRDefault="00400FAB" w:rsidP="00400FAB">
            <w:pPr>
              <w:jc w:val="center"/>
              <w:rPr>
                <w:rFonts w:asciiTheme="majorBidi" w:hAnsiTheme="majorBidi" w:cstheme="majorBidi"/>
              </w:rPr>
            </w:pPr>
            <w:r w:rsidRPr="009C7215">
              <w:rPr>
                <w:rFonts w:asciiTheme="majorBidi" w:hAnsiTheme="majorBidi" w:cstheme="majorBidi"/>
              </w:rPr>
              <w:t>4 079</w:t>
            </w:r>
          </w:p>
        </w:tc>
        <w:tc>
          <w:tcPr>
            <w:tcW w:w="1275" w:type="dxa"/>
            <w:tcBorders>
              <w:top w:val="nil"/>
              <w:left w:val="nil"/>
              <w:bottom w:val="single" w:sz="4" w:space="0" w:color="auto"/>
              <w:right w:val="single" w:sz="4" w:space="0" w:color="auto"/>
            </w:tcBorders>
            <w:noWrap/>
            <w:vAlign w:val="center"/>
          </w:tcPr>
          <w:p w:rsidR="00400FAB" w:rsidRPr="009C7215" w:rsidRDefault="00400FAB" w:rsidP="00400FAB">
            <w:pPr>
              <w:jc w:val="center"/>
              <w:rPr>
                <w:rFonts w:asciiTheme="majorBidi" w:hAnsiTheme="majorBidi" w:cstheme="majorBidi"/>
              </w:rPr>
            </w:pPr>
            <w:r w:rsidRPr="009C7215">
              <w:rPr>
                <w:rFonts w:asciiTheme="majorBidi" w:hAnsiTheme="majorBidi" w:cstheme="majorBidi"/>
              </w:rPr>
              <w:t>681</w:t>
            </w:r>
          </w:p>
        </w:tc>
        <w:tc>
          <w:tcPr>
            <w:tcW w:w="1275" w:type="dxa"/>
            <w:tcBorders>
              <w:top w:val="nil"/>
              <w:left w:val="nil"/>
              <w:bottom w:val="single" w:sz="4" w:space="0" w:color="auto"/>
              <w:right w:val="single" w:sz="4" w:space="0" w:color="auto"/>
            </w:tcBorders>
            <w:noWrap/>
            <w:vAlign w:val="center"/>
          </w:tcPr>
          <w:p w:rsidR="00400FAB" w:rsidRPr="009C7215" w:rsidRDefault="00400FAB" w:rsidP="00400FAB">
            <w:pPr>
              <w:jc w:val="center"/>
              <w:rPr>
                <w:rFonts w:asciiTheme="majorBidi" w:hAnsiTheme="majorBidi" w:cstheme="majorBidi"/>
              </w:rPr>
            </w:pPr>
            <w:r w:rsidRPr="009C7215">
              <w:rPr>
                <w:rFonts w:asciiTheme="majorBidi" w:hAnsiTheme="majorBidi" w:cstheme="majorBidi"/>
              </w:rPr>
              <w:t>4 760</w:t>
            </w:r>
          </w:p>
        </w:tc>
        <w:tc>
          <w:tcPr>
            <w:tcW w:w="2414" w:type="dxa"/>
            <w:tcBorders>
              <w:top w:val="nil"/>
              <w:left w:val="nil"/>
              <w:bottom w:val="single" w:sz="4" w:space="0" w:color="auto"/>
              <w:right w:val="single" w:sz="4" w:space="0" w:color="auto"/>
            </w:tcBorders>
            <w:noWrap/>
            <w:vAlign w:val="center"/>
          </w:tcPr>
          <w:p w:rsidR="00400FAB" w:rsidRPr="009C7215" w:rsidRDefault="00400FAB" w:rsidP="00400FAB">
            <w:pPr>
              <w:jc w:val="center"/>
              <w:rPr>
                <w:rFonts w:asciiTheme="majorBidi" w:hAnsiTheme="majorBidi" w:cstheme="majorBidi"/>
              </w:rPr>
            </w:pPr>
            <w:r w:rsidRPr="009C7215">
              <w:rPr>
                <w:rFonts w:asciiTheme="majorBidi" w:hAnsiTheme="majorBidi" w:cstheme="majorBidi"/>
              </w:rPr>
              <w:t>13.74</w:t>
            </w:r>
          </w:p>
        </w:tc>
      </w:tr>
    </w:tbl>
    <w:p w:rsidR="00E81CCB" w:rsidRPr="009C7215" w:rsidRDefault="00E81CCB" w:rsidP="00B02F65">
      <w:pPr>
        <w:tabs>
          <w:tab w:val="num" w:pos="142"/>
        </w:tabs>
        <w:jc w:val="both"/>
        <w:rPr>
          <w:rFonts w:asciiTheme="majorBidi" w:hAnsiTheme="majorBidi" w:cstheme="majorBidi"/>
        </w:rPr>
      </w:pPr>
    </w:p>
    <w:tbl>
      <w:tblPr>
        <w:tblW w:w="16940" w:type="dxa"/>
        <w:tblLayout w:type="fixed"/>
        <w:tblLook w:val="00A0" w:firstRow="1" w:lastRow="0" w:firstColumn="1" w:lastColumn="0" w:noHBand="0" w:noVBand="0"/>
      </w:tblPr>
      <w:tblGrid>
        <w:gridCol w:w="2234"/>
        <w:gridCol w:w="1418"/>
        <w:gridCol w:w="1131"/>
        <w:gridCol w:w="1275"/>
        <w:gridCol w:w="2272"/>
        <w:gridCol w:w="142"/>
        <w:gridCol w:w="236"/>
        <w:gridCol w:w="2552"/>
        <w:gridCol w:w="1420"/>
        <w:gridCol w:w="1420"/>
        <w:gridCol w:w="1420"/>
        <w:gridCol w:w="1420"/>
      </w:tblGrid>
      <w:tr w:rsidR="009C7215" w:rsidRPr="009C7215" w:rsidTr="00E81CCB">
        <w:trPr>
          <w:gridAfter w:val="7"/>
          <w:wAfter w:w="8610" w:type="dxa"/>
          <w:trHeight w:val="81"/>
        </w:trPr>
        <w:tc>
          <w:tcPr>
            <w:tcW w:w="8330" w:type="dxa"/>
            <w:gridSpan w:val="5"/>
            <w:noWrap/>
            <w:vAlign w:val="bottom"/>
            <w:hideMark/>
          </w:tcPr>
          <w:p w:rsidR="00B02F65" w:rsidRPr="009C7215" w:rsidRDefault="00B02F65">
            <w:pPr>
              <w:jc w:val="both"/>
              <w:rPr>
                <w:rFonts w:asciiTheme="majorBidi" w:hAnsiTheme="majorBidi" w:cstheme="majorBidi"/>
                <w:b/>
                <w:bCs/>
                <w:u w:val="single"/>
              </w:rPr>
            </w:pPr>
            <w:r w:rsidRPr="009C7215">
              <w:rPr>
                <w:rFonts w:asciiTheme="majorBidi" w:hAnsiTheme="majorBidi" w:cstheme="majorBidi"/>
                <w:b/>
                <w:bCs/>
                <w:u w:val="single"/>
              </w:rPr>
              <w:t>Ambulatoro pacientu skaits sadalījumā: maksas pacienti un valsts apmaksājamie pacienti</w:t>
            </w:r>
          </w:p>
        </w:tc>
      </w:tr>
      <w:tr w:rsidR="009C7215" w:rsidRPr="009C7215" w:rsidTr="00E81CCB">
        <w:trPr>
          <w:gridAfter w:val="6"/>
          <w:wAfter w:w="8468" w:type="dxa"/>
          <w:trHeight w:val="100"/>
        </w:trPr>
        <w:tc>
          <w:tcPr>
            <w:tcW w:w="2234" w:type="dxa"/>
            <w:noWrap/>
            <w:vAlign w:val="bottom"/>
          </w:tcPr>
          <w:p w:rsidR="00B02F65" w:rsidRPr="009C7215" w:rsidRDefault="00B02F65">
            <w:pPr>
              <w:rPr>
                <w:rFonts w:asciiTheme="majorBidi" w:hAnsiTheme="majorBidi" w:cstheme="majorBidi"/>
              </w:rPr>
            </w:pPr>
          </w:p>
        </w:tc>
        <w:tc>
          <w:tcPr>
            <w:tcW w:w="1418" w:type="dxa"/>
            <w:noWrap/>
            <w:vAlign w:val="bottom"/>
          </w:tcPr>
          <w:p w:rsidR="00B02F65" w:rsidRPr="009C7215" w:rsidRDefault="00B02F65">
            <w:pPr>
              <w:rPr>
                <w:rFonts w:asciiTheme="majorBidi" w:hAnsiTheme="majorBidi" w:cstheme="majorBidi"/>
              </w:rPr>
            </w:pPr>
          </w:p>
        </w:tc>
        <w:tc>
          <w:tcPr>
            <w:tcW w:w="1131" w:type="dxa"/>
            <w:noWrap/>
            <w:vAlign w:val="bottom"/>
          </w:tcPr>
          <w:p w:rsidR="00B02F65" w:rsidRPr="009C7215" w:rsidRDefault="00B02F65">
            <w:pPr>
              <w:rPr>
                <w:rFonts w:asciiTheme="majorBidi" w:hAnsiTheme="majorBidi" w:cstheme="majorBidi"/>
              </w:rPr>
            </w:pPr>
          </w:p>
        </w:tc>
        <w:tc>
          <w:tcPr>
            <w:tcW w:w="1275" w:type="dxa"/>
            <w:noWrap/>
            <w:vAlign w:val="bottom"/>
          </w:tcPr>
          <w:p w:rsidR="00B02F65" w:rsidRPr="009C7215" w:rsidRDefault="00B02F65">
            <w:pPr>
              <w:rPr>
                <w:rFonts w:asciiTheme="majorBidi" w:hAnsiTheme="majorBidi" w:cstheme="majorBidi"/>
              </w:rPr>
            </w:pPr>
          </w:p>
        </w:tc>
        <w:tc>
          <w:tcPr>
            <w:tcW w:w="2414" w:type="dxa"/>
            <w:gridSpan w:val="2"/>
            <w:noWrap/>
            <w:vAlign w:val="bottom"/>
          </w:tcPr>
          <w:p w:rsidR="00B02F65" w:rsidRPr="009C7215" w:rsidRDefault="00B02F65">
            <w:pPr>
              <w:rPr>
                <w:rFonts w:asciiTheme="majorBidi" w:hAnsiTheme="majorBidi" w:cstheme="majorBidi"/>
              </w:rPr>
            </w:pPr>
          </w:p>
        </w:tc>
      </w:tr>
      <w:tr w:rsidR="009C7215" w:rsidRPr="009C7215" w:rsidTr="00F60842">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Periods</w:t>
            </w:r>
          </w:p>
          <w:p w:rsidR="00B02F65" w:rsidRPr="009C7215" w:rsidRDefault="00B02F65">
            <w:pPr>
              <w:jc w:val="center"/>
              <w:rPr>
                <w:rFonts w:asciiTheme="majorBidi" w:hAnsiTheme="majorBidi" w:cstheme="majorBidi"/>
              </w:rPr>
            </w:pPr>
            <w:r w:rsidRPr="009C7215">
              <w:rPr>
                <w:rFonts w:asciiTheme="majorBidi" w:hAnsiTheme="majorBidi" w:cstheme="majorBidi"/>
              </w:rPr>
              <w:t> </w:t>
            </w:r>
          </w:p>
        </w:tc>
        <w:tc>
          <w:tcPr>
            <w:tcW w:w="1418" w:type="dxa"/>
            <w:tcBorders>
              <w:top w:val="single" w:sz="4" w:space="0" w:color="auto"/>
              <w:left w:val="nil"/>
              <w:bottom w:val="double" w:sz="6" w:space="0" w:color="auto"/>
              <w:right w:val="single" w:sz="4" w:space="0" w:color="auto"/>
            </w:tcBorders>
            <w:shd w:val="clear" w:color="auto" w:fill="D8D8D8"/>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Valsts apmaksājamie</w:t>
            </w:r>
          </w:p>
        </w:tc>
        <w:tc>
          <w:tcPr>
            <w:tcW w:w="1131" w:type="dxa"/>
            <w:tcBorders>
              <w:top w:val="single" w:sz="4" w:space="0" w:color="auto"/>
              <w:left w:val="nil"/>
              <w:bottom w:val="double" w:sz="6" w:space="0" w:color="auto"/>
              <w:right w:val="single" w:sz="4" w:space="0" w:color="auto"/>
            </w:tcBorders>
            <w:shd w:val="clear" w:color="auto" w:fill="D8D8D8"/>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Maksas pacientu īpatsvars no kopā ārstētajiem (%)</w:t>
            </w:r>
          </w:p>
        </w:tc>
      </w:tr>
      <w:tr w:rsidR="00400FAB" w:rsidRPr="009C7215" w:rsidTr="00E81CCB">
        <w:trPr>
          <w:trHeight w:val="390"/>
        </w:trPr>
        <w:tc>
          <w:tcPr>
            <w:tcW w:w="2234" w:type="dxa"/>
            <w:tcBorders>
              <w:top w:val="nil"/>
              <w:left w:val="single" w:sz="4" w:space="0" w:color="auto"/>
              <w:bottom w:val="single" w:sz="4" w:space="0" w:color="auto"/>
              <w:right w:val="single" w:sz="4" w:space="0" w:color="auto"/>
            </w:tcBorders>
            <w:noWrap/>
            <w:vAlign w:val="center"/>
            <w:hideMark/>
          </w:tcPr>
          <w:p w:rsidR="00400FAB" w:rsidRPr="009C7215" w:rsidRDefault="00400FAB" w:rsidP="0020186F">
            <w:pPr>
              <w:jc w:val="center"/>
              <w:rPr>
                <w:rFonts w:asciiTheme="majorBidi" w:hAnsiTheme="majorBidi" w:cstheme="majorBidi"/>
              </w:rPr>
            </w:pPr>
            <w:r w:rsidRPr="009C7215">
              <w:rPr>
                <w:rFonts w:asciiTheme="majorBidi" w:hAnsiTheme="majorBidi" w:cstheme="majorBidi"/>
              </w:rPr>
              <w:t>2016. gada janvārī - septembrī</w:t>
            </w:r>
          </w:p>
        </w:tc>
        <w:tc>
          <w:tcPr>
            <w:tcW w:w="1418" w:type="dxa"/>
            <w:tcBorders>
              <w:top w:val="nil"/>
              <w:left w:val="nil"/>
              <w:bottom w:val="single" w:sz="4" w:space="0" w:color="auto"/>
              <w:right w:val="single" w:sz="4" w:space="0" w:color="auto"/>
            </w:tcBorders>
            <w:noWrap/>
            <w:vAlign w:val="center"/>
          </w:tcPr>
          <w:p w:rsidR="00400FAB" w:rsidRPr="009C7215" w:rsidRDefault="00400FAB" w:rsidP="00400FAB">
            <w:pPr>
              <w:jc w:val="center"/>
              <w:rPr>
                <w:rFonts w:asciiTheme="majorBidi" w:hAnsiTheme="majorBidi" w:cstheme="majorBidi"/>
              </w:rPr>
            </w:pPr>
            <w:r w:rsidRPr="009C7215">
              <w:rPr>
                <w:rFonts w:asciiTheme="majorBidi" w:hAnsiTheme="majorBidi" w:cstheme="majorBidi"/>
              </w:rPr>
              <w:t>58 184</w:t>
            </w:r>
          </w:p>
        </w:tc>
        <w:tc>
          <w:tcPr>
            <w:tcW w:w="1131" w:type="dxa"/>
            <w:tcBorders>
              <w:top w:val="nil"/>
              <w:left w:val="nil"/>
              <w:bottom w:val="single" w:sz="4" w:space="0" w:color="auto"/>
              <w:right w:val="single" w:sz="4" w:space="0" w:color="auto"/>
            </w:tcBorders>
            <w:noWrap/>
            <w:vAlign w:val="center"/>
          </w:tcPr>
          <w:p w:rsidR="00400FAB" w:rsidRPr="009C7215" w:rsidRDefault="00400FAB" w:rsidP="00400FAB">
            <w:pPr>
              <w:jc w:val="center"/>
              <w:rPr>
                <w:rFonts w:asciiTheme="majorBidi" w:hAnsiTheme="majorBidi" w:cstheme="majorBidi"/>
              </w:rPr>
            </w:pPr>
            <w:r w:rsidRPr="009C7215">
              <w:rPr>
                <w:rFonts w:asciiTheme="majorBidi" w:hAnsiTheme="majorBidi" w:cstheme="majorBidi"/>
              </w:rPr>
              <w:t>10 382</w:t>
            </w:r>
          </w:p>
        </w:tc>
        <w:tc>
          <w:tcPr>
            <w:tcW w:w="1275" w:type="dxa"/>
            <w:tcBorders>
              <w:top w:val="nil"/>
              <w:left w:val="nil"/>
              <w:bottom w:val="single" w:sz="4" w:space="0" w:color="auto"/>
              <w:right w:val="single" w:sz="4" w:space="0" w:color="auto"/>
            </w:tcBorders>
            <w:noWrap/>
            <w:vAlign w:val="center"/>
          </w:tcPr>
          <w:p w:rsidR="00400FAB" w:rsidRPr="009C7215" w:rsidRDefault="00400FAB" w:rsidP="00400FAB">
            <w:pPr>
              <w:jc w:val="center"/>
              <w:rPr>
                <w:rFonts w:asciiTheme="majorBidi" w:hAnsiTheme="majorBidi" w:cstheme="majorBidi"/>
              </w:rPr>
            </w:pPr>
            <w:r w:rsidRPr="009C7215">
              <w:rPr>
                <w:rFonts w:asciiTheme="majorBidi" w:hAnsiTheme="majorBidi" w:cstheme="majorBidi"/>
              </w:rPr>
              <w:t>68 566</w:t>
            </w:r>
          </w:p>
        </w:tc>
        <w:tc>
          <w:tcPr>
            <w:tcW w:w="2414" w:type="dxa"/>
            <w:gridSpan w:val="2"/>
            <w:tcBorders>
              <w:top w:val="nil"/>
              <w:left w:val="nil"/>
              <w:bottom w:val="single" w:sz="4" w:space="0" w:color="auto"/>
              <w:right w:val="single" w:sz="4" w:space="0" w:color="auto"/>
            </w:tcBorders>
            <w:noWrap/>
            <w:vAlign w:val="center"/>
          </w:tcPr>
          <w:p w:rsidR="00400FAB" w:rsidRPr="009C7215" w:rsidRDefault="00400FAB" w:rsidP="00400FAB">
            <w:pPr>
              <w:jc w:val="center"/>
              <w:rPr>
                <w:rFonts w:asciiTheme="majorBidi" w:hAnsiTheme="majorBidi" w:cstheme="majorBidi"/>
              </w:rPr>
            </w:pPr>
            <w:r w:rsidRPr="009C7215">
              <w:rPr>
                <w:rFonts w:asciiTheme="majorBidi" w:hAnsiTheme="majorBidi" w:cstheme="majorBidi"/>
              </w:rPr>
              <w:t>15.14</w:t>
            </w:r>
          </w:p>
        </w:tc>
        <w:tc>
          <w:tcPr>
            <w:tcW w:w="236" w:type="dxa"/>
            <w:vAlign w:val="bottom"/>
          </w:tcPr>
          <w:p w:rsidR="00400FAB" w:rsidRPr="009C7215" w:rsidRDefault="00400FAB">
            <w:pPr>
              <w:jc w:val="center"/>
              <w:rPr>
                <w:rFonts w:asciiTheme="majorBidi" w:hAnsiTheme="majorBidi" w:cstheme="majorBidi"/>
              </w:rPr>
            </w:pPr>
          </w:p>
        </w:tc>
        <w:tc>
          <w:tcPr>
            <w:tcW w:w="2552" w:type="dxa"/>
            <w:vAlign w:val="bottom"/>
            <w:hideMark/>
          </w:tcPr>
          <w:p w:rsidR="00400FAB" w:rsidRPr="009C7215" w:rsidRDefault="00400FAB">
            <w:pPr>
              <w:jc w:val="center"/>
              <w:rPr>
                <w:rFonts w:asciiTheme="majorBidi" w:hAnsiTheme="majorBidi" w:cstheme="majorBidi"/>
              </w:rPr>
            </w:pPr>
          </w:p>
        </w:tc>
        <w:tc>
          <w:tcPr>
            <w:tcW w:w="1420" w:type="dxa"/>
            <w:vAlign w:val="bottom"/>
            <w:hideMark/>
          </w:tcPr>
          <w:p w:rsidR="00400FAB" w:rsidRPr="009C7215" w:rsidRDefault="00400FAB">
            <w:pPr>
              <w:jc w:val="center"/>
              <w:rPr>
                <w:rFonts w:asciiTheme="majorBidi" w:hAnsiTheme="majorBidi" w:cstheme="majorBidi"/>
              </w:rPr>
            </w:pPr>
            <w:r w:rsidRPr="009C7215">
              <w:rPr>
                <w:rFonts w:asciiTheme="majorBidi" w:hAnsiTheme="majorBidi" w:cstheme="majorBidi"/>
              </w:rPr>
              <w:t>61.66</w:t>
            </w:r>
          </w:p>
        </w:tc>
        <w:tc>
          <w:tcPr>
            <w:tcW w:w="1420" w:type="dxa"/>
            <w:vAlign w:val="bottom"/>
          </w:tcPr>
          <w:p w:rsidR="00400FAB" w:rsidRPr="009C7215" w:rsidRDefault="00400FAB">
            <w:pPr>
              <w:jc w:val="center"/>
              <w:rPr>
                <w:rFonts w:asciiTheme="majorBidi" w:hAnsiTheme="majorBidi" w:cstheme="majorBidi"/>
              </w:rPr>
            </w:pPr>
          </w:p>
          <w:p w:rsidR="00400FAB" w:rsidRPr="009C7215" w:rsidRDefault="00400FAB">
            <w:pPr>
              <w:jc w:val="center"/>
              <w:rPr>
                <w:rFonts w:asciiTheme="majorBidi" w:hAnsiTheme="majorBidi" w:cstheme="majorBidi"/>
              </w:rPr>
            </w:pPr>
            <w:r w:rsidRPr="009C7215">
              <w:rPr>
                <w:rFonts w:asciiTheme="majorBidi" w:hAnsiTheme="majorBidi" w:cstheme="majorBidi"/>
              </w:rPr>
              <w:t>42.32</w:t>
            </w:r>
          </w:p>
        </w:tc>
        <w:tc>
          <w:tcPr>
            <w:tcW w:w="1420" w:type="dxa"/>
            <w:vAlign w:val="bottom"/>
            <w:hideMark/>
          </w:tcPr>
          <w:p w:rsidR="00400FAB" w:rsidRPr="009C7215" w:rsidRDefault="00400FAB">
            <w:pPr>
              <w:jc w:val="center"/>
              <w:rPr>
                <w:rFonts w:asciiTheme="majorBidi" w:hAnsiTheme="majorBidi" w:cstheme="majorBidi"/>
              </w:rPr>
            </w:pPr>
            <w:r w:rsidRPr="009C7215">
              <w:rPr>
                <w:rFonts w:asciiTheme="majorBidi" w:hAnsiTheme="majorBidi" w:cstheme="majorBidi"/>
              </w:rPr>
              <w:t>38.34</w:t>
            </w:r>
          </w:p>
        </w:tc>
        <w:tc>
          <w:tcPr>
            <w:tcW w:w="1420" w:type="dxa"/>
            <w:vAlign w:val="bottom"/>
            <w:hideMark/>
          </w:tcPr>
          <w:p w:rsidR="00400FAB" w:rsidRPr="009C7215" w:rsidRDefault="00400FAB">
            <w:pPr>
              <w:jc w:val="center"/>
              <w:rPr>
                <w:rFonts w:asciiTheme="majorBidi" w:hAnsiTheme="majorBidi" w:cstheme="majorBidi"/>
              </w:rPr>
            </w:pPr>
            <w:r w:rsidRPr="009C7215">
              <w:rPr>
                <w:rFonts w:asciiTheme="majorBidi" w:hAnsiTheme="majorBidi" w:cstheme="majorBidi"/>
              </w:rPr>
              <w:t>57.68</w:t>
            </w:r>
          </w:p>
        </w:tc>
      </w:tr>
    </w:tbl>
    <w:p w:rsidR="004818A2" w:rsidRPr="009C7215" w:rsidRDefault="004818A2" w:rsidP="00B02F65">
      <w:pPr>
        <w:tabs>
          <w:tab w:val="num" w:pos="142"/>
        </w:tabs>
        <w:jc w:val="both"/>
        <w:rPr>
          <w:rFonts w:asciiTheme="majorBidi" w:hAnsiTheme="majorBidi" w:cstheme="majorBidi"/>
        </w:rPr>
      </w:pPr>
    </w:p>
    <w:tbl>
      <w:tblPr>
        <w:tblW w:w="8460" w:type="dxa"/>
        <w:tblInd w:w="18" w:type="dxa"/>
        <w:tblLayout w:type="fixed"/>
        <w:tblLook w:val="00A0" w:firstRow="1" w:lastRow="0" w:firstColumn="1" w:lastColumn="0" w:noHBand="0" w:noVBand="0"/>
      </w:tblPr>
      <w:tblGrid>
        <w:gridCol w:w="3240"/>
        <w:gridCol w:w="1350"/>
        <w:gridCol w:w="1530"/>
        <w:gridCol w:w="1350"/>
        <w:gridCol w:w="990"/>
      </w:tblGrid>
      <w:tr w:rsidR="009C7215" w:rsidRPr="009C7215" w:rsidTr="00400FAB">
        <w:trPr>
          <w:trHeight w:val="285"/>
        </w:trPr>
        <w:tc>
          <w:tcPr>
            <w:tcW w:w="7470" w:type="dxa"/>
            <w:gridSpan w:val="4"/>
            <w:noWrap/>
            <w:vAlign w:val="bottom"/>
            <w:hideMark/>
          </w:tcPr>
          <w:p w:rsidR="00400FAB" w:rsidRDefault="00400FAB" w:rsidP="00400FAB">
            <w:pPr>
              <w:rPr>
                <w:b/>
                <w:bCs/>
                <w:u w:val="single"/>
              </w:rPr>
            </w:pPr>
            <w:r w:rsidRPr="009C7215">
              <w:rPr>
                <w:b/>
                <w:bCs/>
                <w:u w:val="single"/>
              </w:rPr>
              <w:t xml:space="preserve">No valsts piešķirtā finansējuma sniegtie pakalpojumi stacionārā </w:t>
            </w:r>
            <w:r w:rsidRPr="009C7215">
              <w:rPr>
                <w:b/>
                <w:u w:val="single"/>
              </w:rPr>
              <w:t xml:space="preserve">2016. gada janvārī – septembrī  </w:t>
            </w:r>
            <w:r w:rsidRPr="009C7215">
              <w:rPr>
                <w:b/>
                <w:bCs/>
                <w:u w:val="single"/>
              </w:rPr>
              <w:t>sadalījumā pa programmām</w:t>
            </w:r>
          </w:p>
          <w:p w:rsidR="00987D91" w:rsidRPr="009C7215" w:rsidRDefault="00987D91" w:rsidP="00400FAB">
            <w:pPr>
              <w:rPr>
                <w:b/>
                <w:bCs/>
                <w:u w:val="single"/>
              </w:rPr>
            </w:pPr>
          </w:p>
        </w:tc>
        <w:tc>
          <w:tcPr>
            <w:tcW w:w="990" w:type="dxa"/>
            <w:noWrap/>
            <w:vAlign w:val="bottom"/>
          </w:tcPr>
          <w:p w:rsidR="00400FAB" w:rsidRPr="009C7215" w:rsidRDefault="00400FAB" w:rsidP="00400FAB">
            <w:pPr>
              <w:rPr>
                <w:b/>
                <w:bCs/>
              </w:rPr>
            </w:pPr>
          </w:p>
        </w:tc>
      </w:tr>
      <w:tr w:rsidR="009C7215" w:rsidRPr="009C7215" w:rsidTr="00400FAB">
        <w:trPr>
          <w:trHeight w:val="604"/>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pPr>
              <w:jc w:val="center"/>
              <w:rPr>
                <w:b/>
              </w:rPr>
            </w:pPr>
            <w:r w:rsidRPr="009C7215">
              <w:rPr>
                <w:b/>
              </w:rPr>
              <w:t>Programma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rPr>
                <w:b/>
              </w:rPr>
            </w:pPr>
            <w:r w:rsidRPr="009C7215">
              <w:rPr>
                <w:b/>
              </w:rPr>
              <w:t>Maksa par gultas dienām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rPr>
                <w:b/>
              </w:rPr>
            </w:pPr>
            <w:r w:rsidRPr="009C7215">
              <w:rPr>
                <w:b/>
              </w:rPr>
              <w:t>Maksa par manipulācijām</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rPr>
                <w:b/>
              </w:rPr>
            </w:pPr>
            <w:r w:rsidRPr="009C7215">
              <w:rPr>
                <w:b/>
              </w:rPr>
              <w:t>Kopā sniegti pakalpojumi</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rPr>
                <w:b/>
              </w:rPr>
            </w:pPr>
            <w:r w:rsidRPr="009C7215">
              <w:rPr>
                <w:b/>
              </w:rPr>
              <w:t>Pacientu skaits</w:t>
            </w:r>
          </w:p>
        </w:tc>
      </w:tr>
      <w:tr w:rsidR="009C7215" w:rsidRPr="009C7215" w:rsidTr="00400FAB">
        <w:trPr>
          <w:trHeight w:val="33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3.2.19.2 - Mikroķiruģija pieaugušajiem DRG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23 598.98</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36 204.95</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59 803.93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55</w:t>
            </w:r>
          </w:p>
        </w:tc>
      </w:tr>
      <w:tr w:rsidR="009C7215" w:rsidRPr="009C7215" w:rsidTr="00400FAB">
        <w:trPr>
          <w:trHeight w:val="363"/>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3.2.27.1. - Gūžas locītavas endoprotezēšana ar cementa EP</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49 606.17</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163 195.71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212 801.88</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134</w:t>
            </w:r>
          </w:p>
        </w:tc>
      </w:tr>
      <w:tr w:rsidR="009C7215" w:rsidRPr="009C7215" w:rsidTr="00400FAB">
        <w:trPr>
          <w:trHeight w:val="511"/>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3.2.27.10. - Elkoņa locītavas daļēja(radija galviņas)endoprotezēšana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1 099.54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3 212.82</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4 312.36</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w:t>
            </w:r>
          </w:p>
        </w:tc>
      </w:tr>
      <w:tr w:rsidR="009C7215" w:rsidRPr="009C7215" w:rsidTr="00400FAB">
        <w:trPr>
          <w:trHeight w:val="40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3.2.27.11. -Elkoņa locītavas totālā endoprotezēšana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296.03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3 036.19</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3 332.22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w:t>
            </w:r>
          </w:p>
        </w:tc>
      </w:tr>
      <w:tr w:rsidR="009C7215" w:rsidRPr="009C7215" w:rsidTr="00400FAB">
        <w:trPr>
          <w:trHeight w:val="39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3.2.27.12. -Gūžas locītavas endoprotezēšana ar cementējamu endoprotēzi sarežģītos gadījumos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71 010.45</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214 476.93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285 487.38</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168</w:t>
            </w:r>
          </w:p>
        </w:tc>
      </w:tr>
      <w:tr w:rsidR="009C7215" w:rsidRPr="009C7215" w:rsidTr="00400FAB">
        <w:trPr>
          <w:trHeight w:val="69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3.2.27.13. -Gūžas locītavas endoprotezēšana ar bezcementa fiksācijas vai hibrīda tipa endoprotēzi sarežģītos gadījumos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7 358.46</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32 123.15</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39 481.61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17</w:t>
            </w:r>
          </w:p>
        </w:tc>
      </w:tr>
      <w:tr w:rsidR="009C7215" w:rsidRPr="009C7215" w:rsidTr="00400FAB">
        <w:trPr>
          <w:trHeight w:val="412"/>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3.2.27.14. Gūžas locītavas endoprotezēšana bez endoprotēzes  (ar 50% apmaksu)sarežģītos gadījumos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1 141.83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2 450.17</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3 592.00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4</w:t>
            </w:r>
          </w:p>
        </w:tc>
      </w:tr>
      <w:tr w:rsidR="009C7215" w:rsidRPr="009C7215" w:rsidTr="00400FAB">
        <w:trPr>
          <w:trHeight w:val="56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3.2.27.15. Gūžas locītavas endoprotezēšana ar cementējamu endoprotēzi (ar 50% apmaksu)sarežģītos gadījumos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52 524.18</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171 020.71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223 544.89</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139</w:t>
            </w:r>
          </w:p>
        </w:tc>
      </w:tr>
      <w:tr w:rsidR="009C7215" w:rsidRPr="009C7215" w:rsidTr="00400FAB">
        <w:trPr>
          <w:trHeight w:val="491"/>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lastRenderedPageBreak/>
              <w:t>2016-01-01 3.2.27.16. Ceļa locītavas endoprotezēšana sarežģītos gadījumos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105 428.97</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419 180.87</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524 609.84</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238</w:t>
            </w:r>
          </w:p>
        </w:tc>
      </w:tr>
      <w:tr w:rsidR="009C7215" w:rsidRPr="009C7215" w:rsidTr="00400FAB">
        <w:trPr>
          <w:trHeight w:val="42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3.2.27.17.Ceļa locītavas endoprotezēšana ar 50% apmaksu sarežģītos gadījumos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37 257.49</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140 758.33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178 015.82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80</w:t>
            </w:r>
          </w:p>
        </w:tc>
      </w:tr>
      <w:tr w:rsidR="009C7215" w:rsidRPr="009C7215" w:rsidTr="00400FAB">
        <w:trPr>
          <w:trHeight w:val="418"/>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3.2.27.2 - Gūžas locītavas endoprotezēšana bezcementa vai hibrīda EP</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3 975.26</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20 568.01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24 543.27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11</w:t>
            </w:r>
          </w:p>
        </w:tc>
      </w:tr>
      <w:tr w:rsidR="009C7215" w:rsidRPr="009C7215" w:rsidTr="00400FAB">
        <w:trPr>
          <w:trHeight w:val="41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3.2.27.4. - Gūžas locītavas endoprotezēšana ar cementējamu EP ar 50 % apmaksu</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1 712.76</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5 415.20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7 127.96</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9</w:t>
            </w:r>
          </w:p>
        </w:tc>
      </w:tr>
      <w:tr w:rsidR="009C7215" w:rsidRPr="009C7215" w:rsidTr="00400FAB">
        <w:trPr>
          <w:trHeight w:val="261"/>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3.2.27.6. - Ceļa locītavas endoprotezēšana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16 535.39</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67 338.32</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83 873.71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39</w:t>
            </w:r>
          </w:p>
        </w:tc>
      </w:tr>
      <w:tr w:rsidR="009C7215" w:rsidRPr="009C7215" w:rsidTr="00400FAB">
        <w:trPr>
          <w:trHeight w:val="42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3.2.27.7. -Ceļa locītavas endoprotezēšana ar 50 % apmaksu</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444.05</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1 771.57</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2 215.62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w:t>
            </w:r>
          </w:p>
        </w:tc>
      </w:tr>
      <w:tr w:rsidR="009C7215" w:rsidRPr="009C7215" w:rsidTr="00400FAB">
        <w:trPr>
          <w:trHeight w:val="271"/>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3.2.27.8. - Plecu locītavas endoprotezēšana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135 75.38</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103 342.93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116 918.31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37</w:t>
            </w:r>
          </w:p>
        </w:tc>
      </w:tr>
      <w:tr w:rsidR="009C7215" w:rsidRPr="009C7215" w:rsidTr="00400FAB">
        <w:trPr>
          <w:trHeight w:val="41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3.2.27.9. - Plecu locītavas endoprotezēšana ar 50 % apmaksu</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1 966.50</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16 530.01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18 496.51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12</w:t>
            </w:r>
          </w:p>
        </w:tc>
      </w:tr>
      <w:tr w:rsidR="009C7215" w:rsidRPr="009C7215" w:rsidTr="00400FAB">
        <w:trPr>
          <w:trHeight w:val="64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3.2.28. -Revīzijas endoprotezēšana un endoprotezēšana osteomielīta un onkoloģijas pacientiem( bez implanta vērtības)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130 678.71</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189 746.46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320 425.17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184</w:t>
            </w:r>
          </w:p>
        </w:tc>
      </w:tr>
      <w:tr w:rsidR="009C7215" w:rsidRPr="009C7215" w:rsidTr="00400FAB">
        <w:trPr>
          <w:trHeight w:val="273"/>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3.2.35.4. - Onkoloģijas programma  DRG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20 806.68</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27 248.04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48 054.72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45</w:t>
            </w:r>
          </w:p>
        </w:tc>
      </w:tr>
      <w:tr w:rsidR="009C7215" w:rsidRPr="009C7215" w:rsidTr="00400FAB">
        <w:trPr>
          <w:trHeight w:val="424"/>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3.2.39. - Mugurkaulāja saslimšanu un traumu ķiruģika ārstēšana  DRG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94 894.67</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370 165.55</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465 060.22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220</w:t>
            </w:r>
          </w:p>
        </w:tc>
      </w:tr>
      <w:tr w:rsidR="009C7215" w:rsidRPr="009C7215" w:rsidTr="00400FAB">
        <w:trPr>
          <w:trHeight w:val="282"/>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3.2.41. - Osteomielīts DRG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56 461.21</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57 188.79</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113 650.00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76</w:t>
            </w:r>
          </w:p>
        </w:tc>
      </w:tr>
      <w:tr w:rsidR="009C7215" w:rsidRPr="009C7215" w:rsidTr="00400FAB">
        <w:trPr>
          <w:trHeight w:val="272"/>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3.3. - Pārējie pakalpojumi DRG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559 522.34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846 123.87</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1 405 646.21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2328</w:t>
            </w:r>
          </w:p>
        </w:tc>
      </w:tr>
      <w:tr w:rsidR="009C7215" w:rsidRPr="009C7215" w:rsidTr="00400FAB">
        <w:trPr>
          <w:trHeight w:val="119"/>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r w:rsidRPr="009C7215">
              <w:t>2016-01-01 F0042.1 -98. pacientu grupa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69 524.76</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429 425.09</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498 949.85</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pPr>
            <w:r w:rsidRPr="009C7215">
              <w:t>277</w:t>
            </w:r>
          </w:p>
        </w:tc>
      </w:tr>
      <w:tr w:rsidR="009C7215" w:rsidRPr="009C7215" w:rsidTr="00400FAB">
        <w:trPr>
          <w:trHeight w:val="37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FAB" w:rsidRPr="009C7215" w:rsidRDefault="00400FAB" w:rsidP="00400FAB">
            <w:pPr>
              <w:rPr>
                <w:b/>
              </w:rPr>
            </w:pPr>
            <w:r w:rsidRPr="009C7215">
              <w:rPr>
                <w:b/>
              </w:rPr>
              <w:t>Kopā:</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rPr>
                <w:b/>
              </w:rPr>
            </w:pPr>
            <w:r w:rsidRPr="009C7215">
              <w:rPr>
                <w:b/>
              </w:rPr>
              <w:t>1 319 419.81</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rPr>
                <w:b/>
              </w:rPr>
            </w:pPr>
            <w:r w:rsidRPr="009C7215">
              <w:rPr>
                <w:b/>
              </w:rPr>
              <w:t>3 320 523.67</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rPr>
                <w:b/>
              </w:rPr>
            </w:pPr>
            <w:r w:rsidRPr="009C7215">
              <w:rPr>
                <w:b/>
              </w:rPr>
              <w:t>4 639 943.48</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00FAB" w:rsidRPr="009C7215" w:rsidRDefault="00400FAB" w:rsidP="00400FAB">
            <w:pPr>
              <w:jc w:val="center"/>
              <w:rPr>
                <w:b/>
              </w:rPr>
            </w:pPr>
            <w:r w:rsidRPr="009C7215">
              <w:rPr>
                <w:b/>
              </w:rPr>
              <w:t>4079</w:t>
            </w:r>
          </w:p>
        </w:tc>
      </w:tr>
    </w:tbl>
    <w:p w:rsidR="00B02F65" w:rsidRPr="009C7215" w:rsidRDefault="00B02F65" w:rsidP="00D864E8">
      <w:pPr>
        <w:jc w:val="center"/>
        <w:rPr>
          <w:rFonts w:asciiTheme="majorBidi" w:hAnsiTheme="majorBidi" w:cstheme="majorBidi"/>
          <w:b/>
        </w:rPr>
      </w:pPr>
      <w:r w:rsidRPr="009C7215">
        <w:rPr>
          <w:rFonts w:asciiTheme="majorBidi" w:hAnsiTheme="majorBidi" w:cstheme="majorBidi"/>
          <w:b/>
        </w:rPr>
        <w:t xml:space="preserve"> </w:t>
      </w:r>
    </w:p>
    <w:p w:rsidR="00064559" w:rsidRDefault="00064559" w:rsidP="009678D5">
      <w:pPr>
        <w:tabs>
          <w:tab w:val="num" w:pos="142"/>
        </w:tabs>
        <w:rPr>
          <w:rFonts w:asciiTheme="majorBidi" w:hAnsiTheme="majorBidi" w:cstheme="majorBidi"/>
          <w:b/>
          <w:u w:val="single"/>
        </w:rPr>
      </w:pPr>
      <w:r w:rsidRPr="009C7215">
        <w:rPr>
          <w:rFonts w:asciiTheme="majorBidi" w:hAnsiTheme="majorBidi" w:cstheme="majorBidi"/>
          <w:b/>
          <w:u w:val="single"/>
        </w:rPr>
        <w:t xml:space="preserve">Valsts piešķirtā finansējuma ietvaros faktiski veiktās endprotezēšanas operācijas </w:t>
      </w:r>
      <w:r w:rsidR="0054520C" w:rsidRPr="009C7215">
        <w:rPr>
          <w:rFonts w:asciiTheme="majorBidi" w:hAnsiTheme="majorBidi" w:cstheme="majorBidi"/>
          <w:b/>
          <w:u w:val="single"/>
        </w:rPr>
        <w:t>2016</w:t>
      </w:r>
      <w:r w:rsidR="0040425D" w:rsidRPr="009C7215">
        <w:rPr>
          <w:rFonts w:asciiTheme="majorBidi" w:hAnsiTheme="majorBidi" w:cstheme="majorBidi"/>
          <w:b/>
          <w:u w:val="single"/>
        </w:rPr>
        <w:t xml:space="preserve">. gada </w:t>
      </w:r>
      <w:r w:rsidR="00E12834" w:rsidRPr="009C7215">
        <w:rPr>
          <w:rFonts w:asciiTheme="majorBidi" w:hAnsiTheme="majorBidi" w:cstheme="majorBidi"/>
          <w:b/>
          <w:u w:val="single"/>
        </w:rPr>
        <w:t xml:space="preserve">janvārī </w:t>
      </w:r>
      <w:r w:rsidR="00400FAB" w:rsidRPr="009C7215">
        <w:rPr>
          <w:rFonts w:asciiTheme="majorBidi" w:hAnsiTheme="majorBidi" w:cstheme="majorBidi"/>
          <w:b/>
          <w:u w:val="single"/>
        </w:rPr>
        <w:t>–</w:t>
      </w:r>
      <w:r w:rsidR="00E12834" w:rsidRPr="009C7215">
        <w:rPr>
          <w:rFonts w:asciiTheme="majorBidi" w:hAnsiTheme="majorBidi" w:cstheme="majorBidi"/>
          <w:b/>
          <w:u w:val="single"/>
        </w:rPr>
        <w:t xml:space="preserve"> </w:t>
      </w:r>
      <w:r w:rsidR="00400FAB" w:rsidRPr="009C7215">
        <w:rPr>
          <w:rFonts w:asciiTheme="majorBidi" w:hAnsiTheme="majorBidi" w:cstheme="majorBidi"/>
          <w:b/>
          <w:u w:val="single"/>
        </w:rPr>
        <w:t>septembrī</w:t>
      </w:r>
    </w:p>
    <w:p w:rsidR="00987D91" w:rsidRPr="009C7215" w:rsidRDefault="00987D91" w:rsidP="009678D5">
      <w:pPr>
        <w:tabs>
          <w:tab w:val="num" w:pos="142"/>
        </w:tabs>
        <w:rPr>
          <w:rFonts w:asciiTheme="majorBidi" w:hAnsiTheme="majorBidi" w:cstheme="majorBidi"/>
          <w:b/>
          <w:u w:val="single"/>
        </w:rPr>
      </w:pPr>
    </w:p>
    <w:tbl>
      <w:tblPr>
        <w:tblStyle w:val="TableGrid"/>
        <w:tblW w:w="7230" w:type="dxa"/>
        <w:tblLayout w:type="fixed"/>
        <w:tblLook w:val="00A0" w:firstRow="1" w:lastRow="0" w:firstColumn="1" w:lastColumn="0" w:noHBand="0" w:noVBand="0"/>
      </w:tblPr>
      <w:tblGrid>
        <w:gridCol w:w="18"/>
        <w:gridCol w:w="1854"/>
        <w:gridCol w:w="3716"/>
        <w:gridCol w:w="1642"/>
      </w:tblGrid>
      <w:tr w:rsidR="009C7215" w:rsidRPr="009C7215" w:rsidTr="00321B90">
        <w:trPr>
          <w:trHeight w:val="574"/>
        </w:trPr>
        <w:tc>
          <w:tcPr>
            <w:tcW w:w="1872" w:type="dxa"/>
            <w:gridSpan w:val="2"/>
            <w:shd w:val="clear" w:color="auto" w:fill="D9D9D9" w:themeFill="background1" w:themeFillShade="D9"/>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Rinda</w:t>
            </w:r>
          </w:p>
        </w:tc>
        <w:tc>
          <w:tcPr>
            <w:tcW w:w="3716" w:type="dxa"/>
            <w:shd w:val="clear" w:color="auto" w:fill="D9D9D9" w:themeFill="background1" w:themeFillShade="D9"/>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Endoprotezēšanas veids</w:t>
            </w:r>
          </w:p>
        </w:tc>
        <w:tc>
          <w:tcPr>
            <w:tcW w:w="1642" w:type="dxa"/>
            <w:shd w:val="clear" w:color="auto" w:fill="D9D9D9" w:themeFill="background1" w:themeFillShade="D9"/>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2016. gada janvārī - septembrī</w:t>
            </w:r>
          </w:p>
        </w:tc>
      </w:tr>
      <w:tr w:rsidR="009C7215" w:rsidRPr="009C7215" w:rsidTr="00321B90">
        <w:trPr>
          <w:gridBefore w:val="1"/>
          <w:wBefore w:w="18" w:type="dxa"/>
          <w:trHeight w:val="371"/>
        </w:trPr>
        <w:tc>
          <w:tcPr>
            <w:tcW w:w="1854" w:type="dxa"/>
            <w:vMerge w:val="restart"/>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plānveida rindas pacienti</w:t>
            </w: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cementējamā endoprotezēšana</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157</w:t>
            </w:r>
          </w:p>
        </w:tc>
      </w:tr>
      <w:tr w:rsidR="009C7215" w:rsidRPr="009C7215" w:rsidTr="00321B90">
        <w:trPr>
          <w:gridBefore w:val="1"/>
          <w:wBefore w:w="18" w:type="dxa"/>
          <w:trHeight w:val="300"/>
        </w:trPr>
        <w:tc>
          <w:tcPr>
            <w:tcW w:w="1854" w:type="dxa"/>
            <w:vMerge/>
          </w:tcPr>
          <w:p w:rsidR="00D81178" w:rsidRPr="009C7215" w:rsidRDefault="00D81178" w:rsidP="00321B90">
            <w:pP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hibrīdtipa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7</w:t>
            </w:r>
          </w:p>
        </w:tc>
      </w:tr>
      <w:tr w:rsidR="009C7215" w:rsidRPr="009C7215" w:rsidTr="00321B90">
        <w:trPr>
          <w:gridBefore w:val="1"/>
          <w:wBefore w:w="18" w:type="dxa"/>
          <w:trHeight w:val="300"/>
        </w:trPr>
        <w:tc>
          <w:tcPr>
            <w:tcW w:w="1854" w:type="dxa"/>
            <w:vMerge/>
          </w:tcPr>
          <w:p w:rsidR="00D81178" w:rsidRPr="009C7215" w:rsidRDefault="00D81178" w:rsidP="00321B90">
            <w:pP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bezcementa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3</w:t>
            </w:r>
          </w:p>
        </w:tc>
      </w:tr>
      <w:tr w:rsidR="009C7215" w:rsidRPr="009C7215" w:rsidTr="00321B90">
        <w:trPr>
          <w:gridBefore w:val="1"/>
          <w:wBefore w:w="18" w:type="dxa"/>
          <w:trHeight w:val="231"/>
        </w:trPr>
        <w:tc>
          <w:tcPr>
            <w:tcW w:w="1854" w:type="dxa"/>
            <w:vMerge/>
          </w:tcPr>
          <w:p w:rsidR="00D81178" w:rsidRPr="009C7215" w:rsidRDefault="00D81178" w:rsidP="00321B90">
            <w:pP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ceļa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189</w:t>
            </w:r>
          </w:p>
        </w:tc>
      </w:tr>
      <w:tr w:rsidR="009C7215" w:rsidRPr="009C7215" w:rsidTr="00321B90">
        <w:trPr>
          <w:gridBefore w:val="1"/>
          <w:wBefore w:w="18" w:type="dxa"/>
          <w:trHeight w:val="230"/>
        </w:trPr>
        <w:tc>
          <w:tcPr>
            <w:tcW w:w="1854" w:type="dxa"/>
            <w:vMerge/>
          </w:tcPr>
          <w:p w:rsidR="00D81178" w:rsidRPr="009C7215" w:rsidRDefault="00D81178" w:rsidP="00321B90">
            <w:pP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pleca locītavas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15</w:t>
            </w:r>
          </w:p>
        </w:tc>
      </w:tr>
      <w:tr w:rsidR="009C7215" w:rsidRPr="009C7215" w:rsidTr="00321B90">
        <w:trPr>
          <w:gridBefore w:val="1"/>
          <w:wBefore w:w="18" w:type="dxa"/>
          <w:trHeight w:val="300"/>
        </w:trPr>
        <w:tc>
          <w:tcPr>
            <w:tcW w:w="5570" w:type="dxa"/>
            <w:gridSpan w:val="2"/>
            <w:shd w:val="clear" w:color="auto" w:fill="EAF1DD" w:themeFill="accent3" w:themeFillTint="33"/>
            <w:noWrap/>
          </w:tcPr>
          <w:p w:rsidR="00D81178" w:rsidRPr="009C7215" w:rsidRDefault="00D81178" w:rsidP="00321B90">
            <w:pPr>
              <w:jc w:val="right"/>
              <w:rPr>
                <w:rFonts w:asciiTheme="majorBidi" w:hAnsiTheme="majorBidi" w:cstheme="majorBidi"/>
                <w:i/>
                <w:iCs/>
              </w:rPr>
            </w:pPr>
            <w:r w:rsidRPr="009C7215">
              <w:rPr>
                <w:rFonts w:asciiTheme="majorBidi" w:hAnsiTheme="majorBidi" w:cstheme="majorBidi"/>
                <w:i/>
                <w:iCs/>
              </w:rPr>
              <w:t xml:space="preserve">kopā </w:t>
            </w:r>
          </w:p>
        </w:tc>
        <w:tc>
          <w:tcPr>
            <w:tcW w:w="1642" w:type="dxa"/>
            <w:shd w:val="clear" w:color="auto" w:fill="EAF1DD" w:themeFill="accent3" w:themeFillTint="33"/>
            <w:noWrap/>
            <w:vAlign w:val="center"/>
          </w:tcPr>
          <w:p w:rsidR="00D81178" w:rsidRPr="009C7215" w:rsidRDefault="00D81178" w:rsidP="00321B90">
            <w:pPr>
              <w:jc w:val="center"/>
              <w:rPr>
                <w:rFonts w:asciiTheme="majorBidi" w:hAnsiTheme="majorBidi" w:cstheme="majorBidi"/>
                <w:b/>
                <w:i/>
              </w:rPr>
            </w:pPr>
            <w:r w:rsidRPr="009C7215">
              <w:rPr>
                <w:rFonts w:asciiTheme="majorBidi" w:hAnsiTheme="majorBidi" w:cstheme="majorBidi"/>
                <w:b/>
                <w:i/>
              </w:rPr>
              <w:t>371</w:t>
            </w:r>
          </w:p>
        </w:tc>
      </w:tr>
      <w:tr w:rsidR="009C7215" w:rsidRPr="009C7215" w:rsidTr="00321B90">
        <w:trPr>
          <w:gridBefore w:val="1"/>
          <w:wBefore w:w="18" w:type="dxa"/>
          <w:trHeight w:val="300"/>
        </w:trPr>
        <w:tc>
          <w:tcPr>
            <w:tcW w:w="1854" w:type="dxa"/>
            <w:vMerge w:val="restart"/>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paātrinātās rindas pacienti</w:t>
            </w: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cementējamā endoprotezēšana</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110</w:t>
            </w:r>
          </w:p>
        </w:tc>
      </w:tr>
      <w:tr w:rsidR="009C7215" w:rsidRPr="009C7215" w:rsidTr="00321B90">
        <w:trPr>
          <w:gridBefore w:val="1"/>
          <w:wBefore w:w="18" w:type="dxa"/>
          <w:trHeight w:val="300"/>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hibrīdtipa endoprotezēšana</w:t>
            </w:r>
          </w:p>
        </w:tc>
        <w:tc>
          <w:tcPr>
            <w:tcW w:w="1642" w:type="dxa"/>
            <w:shd w:val="clear" w:color="auto" w:fill="auto"/>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22</w:t>
            </w:r>
          </w:p>
        </w:tc>
      </w:tr>
      <w:tr w:rsidR="009C7215" w:rsidRPr="009C7215" w:rsidTr="00321B90">
        <w:trPr>
          <w:gridBefore w:val="1"/>
          <w:wBefore w:w="18" w:type="dxa"/>
          <w:trHeight w:val="300"/>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bezcementa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144</w:t>
            </w:r>
          </w:p>
        </w:tc>
      </w:tr>
      <w:tr w:rsidR="009C7215" w:rsidRPr="009C7215" w:rsidTr="00321B90">
        <w:trPr>
          <w:gridBefore w:val="1"/>
          <w:wBefore w:w="18" w:type="dxa"/>
          <w:trHeight w:val="278"/>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ceļa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117</w:t>
            </w:r>
          </w:p>
        </w:tc>
      </w:tr>
      <w:tr w:rsidR="009C7215" w:rsidRPr="009C7215" w:rsidTr="00321B90">
        <w:trPr>
          <w:gridBefore w:val="1"/>
          <w:wBefore w:w="18" w:type="dxa"/>
          <w:trHeight w:val="150"/>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elkoņa locītavas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1</w:t>
            </w:r>
          </w:p>
        </w:tc>
      </w:tr>
      <w:tr w:rsidR="009C7215" w:rsidRPr="009C7215" w:rsidTr="00321B90">
        <w:trPr>
          <w:gridBefore w:val="1"/>
          <w:wBefore w:w="18" w:type="dxa"/>
          <w:trHeight w:val="150"/>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pleca locītavas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2</w:t>
            </w:r>
          </w:p>
        </w:tc>
      </w:tr>
      <w:tr w:rsidR="009C7215" w:rsidRPr="009C7215" w:rsidTr="00321B90">
        <w:trPr>
          <w:gridBefore w:val="1"/>
          <w:wBefore w:w="18" w:type="dxa"/>
          <w:trHeight w:val="300"/>
        </w:trPr>
        <w:tc>
          <w:tcPr>
            <w:tcW w:w="5570" w:type="dxa"/>
            <w:gridSpan w:val="2"/>
            <w:shd w:val="clear" w:color="auto" w:fill="EAF1DD" w:themeFill="accent3" w:themeFillTint="33"/>
            <w:noWrap/>
          </w:tcPr>
          <w:p w:rsidR="00D81178" w:rsidRPr="009C7215" w:rsidRDefault="00D81178" w:rsidP="00321B90">
            <w:pPr>
              <w:jc w:val="right"/>
              <w:rPr>
                <w:rFonts w:asciiTheme="majorBidi" w:hAnsiTheme="majorBidi" w:cstheme="majorBidi"/>
                <w:i/>
                <w:iCs/>
              </w:rPr>
            </w:pPr>
            <w:r w:rsidRPr="009C7215">
              <w:rPr>
                <w:rFonts w:asciiTheme="majorBidi" w:hAnsiTheme="majorBidi" w:cstheme="majorBidi"/>
                <w:i/>
                <w:iCs/>
              </w:rPr>
              <w:t xml:space="preserve">kopā </w:t>
            </w:r>
          </w:p>
        </w:tc>
        <w:tc>
          <w:tcPr>
            <w:tcW w:w="1642" w:type="dxa"/>
            <w:shd w:val="clear" w:color="auto" w:fill="EAF1DD" w:themeFill="accent3" w:themeFillTint="33"/>
            <w:noWrap/>
            <w:vAlign w:val="center"/>
          </w:tcPr>
          <w:p w:rsidR="00D81178" w:rsidRPr="009C7215" w:rsidRDefault="00D81178" w:rsidP="00321B90">
            <w:pPr>
              <w:jc w:val="center"/>
              <w:rPr>
                <w:rFonts w:asciiTheme="majorBidi" w:hAnsiTheme="majorBidi" w:cstheme="majorBidi"/>
                <w:b/>
                <w:i/>
                <w:iCs/>
              </w:rPr>
            </w:pPr>
            <w:r w:rsidRPr="009C7215">
              <w:rPr>
                <w:rFonts w:asciiTheme="majorBidi" w:hAnsiTheme="majorBidi" w:cstheme="majorBidi"/>
                <w:b/>
                <w:i/>
                <w:iCs/>
              </w:rPr>
              <w:t>396</w:t>
            </w:r>
          </w:p>
        </w:tc>
      </w:tr>
      <w:tr w:rsidR="009C7215" w:rsidRPr="009C7215" w:rsidTr="00321B90">
        <w:trPr>
          <w:gridBefore w:val="1"/>
          <w:wBefore w:w="18" w:type="dxa"/>
          <w:trHeight w:val="300"/>
        </w:trPr>
        <w:tc>
          <w:tcPr>
            <w:tcW w:w="1854" w:type="dxa"/>
            <w:vMerge w:val="restart"/>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pacientiem ar 50 % apmaksu</w:t>
            </w: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cementējamā endoprotezēšana</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148</w:t>
            </w:r>
          </w:p>
        </w:tc>
      </w:tr>
      <w:tr w:rsidR="009C7215" w:rsidRPr="009C7215" w:rsidTr="00321B90">
        <w:trPr>
          <w:gridBefore w:val="1"/>
          <w:wBefore w:w="18" w:type="dxa"/>
          <w:trHeight w:val="300"/>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hibrīdtipa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1</w:t>
            </w:r>
          </w:p>
        </w:tc>
      </w:tr>
      <w:tr w:rsidR="009C7215" w:rsidRPr="009C7215" w:rsidTr="00321B90">
        <w:trPr>
          <w:gridBefore w:val="1"/>
          <w:wBefore w:w="18" w:type="dxa"/>
          <w:trHeight w:val="300"/>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bezcementa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3</w:t>
            </w:r>
          </w:p>
        </w:tc>
      </w:tr>
      <w:tr w:rsidR="009C7215" w:rsidRPr="009C7215" w:rsidTr="00321B90">
        <w:trPr>
          <w:gridBefore w:val="1"/>
          <w:wBefore w:w="18" w:type="dxa"/>
          <w:trHeight w:val="218"/>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ceļa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82</w:t>
            </w:r>
          </w:p>
        </w:tc>
      </w:tr>
      <w:tr w:rsidR="009C7215" w:rsidRPr="009C7215" w:rsidTr="00321B90">
        <w:trPr>
          <w:gridBefore w:val="1"/>
          <w:wBefore w:w="18" w:type="dxa"/>
          <w:trHeight w:val="218"/>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pleca locītavas endoprotezēšana</w:t>
            </w:r>
          </w:p>
        </w:tc>
        <w:tc>
          <w:tcPr>
            <w:tcW w:w="1642" w:type="dxa"/>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12</w:t>
            </w:r>
          </w:p>
        </w:tc>
      </w:tr>
      <w:tr w:rsidR="009C7215" w:rsidRPr="009C7215" w:rsidTr="00321B90">
        <w:trPr>
          <w:gridBefore w:val="1"/>
          <w:wBefore w:w="18" w:type="dxa"/>
          <w:trHeight w:val="300"/>
        </w:trPr>
        <w:tc>
          <w:tcPr>
            <w:tcW w:w="5570" w:type="dxa"/>
            <w:gridSpan w:val="2"/>
            <w:shd w:val="clear" w:color="auto" w:fill="EAF1DD" w:themeFill="accent3" w:themeFillTint="33"/>
            <w:noWrap/>
          </w:tcPr>
          <w:p w:rsidR="00D81178" w:rsidRPr="009C7215" w:rsidRDefault="00D81178" w:rsidP="00321B90">
            <w:pPr>
              <w:jc w:val="right"/>
              <w:rPr>
                <w:rFonts w:asciiTheme="majorBidi" w:hAnsiTheme="majorBidi" w:cstheme="majorBidi"/>
                <w:i/>
                <w:iCs/>
              </w:rPr>
            </w:pPr>
            <w:r w:rsidRPr="009C7215">
              <w:rPr>
                <w:rFonts w:asciiTheme="majorBidi" w:hAnsiTheme="majorBidi" w:cstheme="majorBidi"/>
                <w:i/>
                <w:iCs/>
              </w:rPr>
              <w:t xml:space="preserve">kopā </w:t>
            </w:r>
          </w:p>
        </w:tc>
        <w:tc>
          <w:tcPr>
            <w:tcW w:w="1642" w:type="dxa"/>
            <w:shd w:val="clear" w:color="auto" w:fill="EAF1DD" w:themeFill="accent3" w:themeFillTint="33"/>
            <w:noWrap/>
            <w:vAlign w:val="center"/>
          </w:tcPr>
          <w:p w:rsidR="00D81178" w:rsidRPr="009C7215" w:rsidRDefault="00D81178" w:rsidP="00D81178">
            <w:pPr>
              <w:jc w:val="center"/>
              <w:rPr>
                <w:rFonts w:asciiTheme="majorBidi" w:hAnsiTheme="majorBidi" w:cstheme="majorBidi"/>
              </w:rPr>
            </w:pPr>
            <w:r w:rsidRPr="009C7215">
              <w:rPr>
                <w:rFonts w:asciiTheme="majorBidi" w:hAnsiTheme="majorBidi" w:cstheme="majorBidi"/>
              </w:rPr>
              <w:t>246</w:t>
            </w:r>
          </w:p>
        </w:tc>
      </w:tr>
      <w:tr w:rsidR="009C7215" w:rsidRPr="009C7215" w:rsidTr="00321B90">
        <w:trPr>
          <w:gridBefore w:val="1"/>
          <w:wBefore w:w="18" w:type="dxa"/>
          <w:trHeight w:val="300"/>
        </w:trPr>
        <w:tc>
          <w:tcPr>
            <w:tcW w:w="1854" w:type="dxa"/>
            <w:vMerge w:val="restart"/>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pacientiem ar traumu sekām</w:t>
            </w: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cementējamā endoprotezēšana</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49</w:t>
            </w:r>
          </w:p>
        </w:tc>
      </w:tr>
      <w:tr w:rsidR="009C7215" w:rsidRPr="009C7215" w:rsidTr="00321B90">
        <w:trPr>
          <w:gridBefore w:val="1"/>
          <w:wBefore w:w="18" w:type="dxa"/>
          <w:trHeight w:val="300"/>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hibrīdtipa endoprotezēšana</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3</w:t>
            </w:r>
          </w:p>
        </w:tc>
      </w:tr>
      <w:tr w:rsidR="009C7215" w:rsidRPr="009C7215" w:rsidTr="00321B90">
        <w:trPr>
          <w:gridBefore w:val="1"/>
          <w:wBefore w:w="18" w:type="dxa"/>
          <w:trHeight w:val="300"/>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gūžas bezcementa endoprotezēšana</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0</w:t>
            </w:r>
          </w:p>
        </w:tc>
      </w:tr>
      <w:tr w:rsidR="009C7215" w:rsidRPr="009C7215" w:rsidTr="00321B90">
        <w:trPr>
          <w:gridBefore w:val="1"/>
          <w:wBefore w:w="18" w:type="dxa"/>
          <w:trHeight w:val="241"/>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ceļa endoprotezēšana</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2</w:t>
            </w:r>
          </w:p>
        </w:tc>
      </w:tr>
      <w:tr w:rsidR="009C7215" w:rsidRPr="009C7215" w:rsidTr="00321B90">
        <w:trPr>
          <w:gridBefore w:val="1"/>
          <w:wBefore w:w="18" w:type="dxa"/>
          <w:trHeight w:val="275"/>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elkoņa loc. daļēja endoprotezēšana</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0</w:t>
            </w:r>
          </w:p>
        </w:tc>
      </w:tr>
      <w:tr w:rsidR="009C7215" w:rsidRPr="009C7215" w:rsidTr="00321B90">
        <w:trPr>
          <w:gridBefore w:val="1"/>
          <w:wBefore w:w="18" w:type="dxa"/>
          <w:trHeight w:val="275"/>
        </w:trPr>
        <w:tc>
          <w:tcPr>
            <w:tcW w:w="1854" w:type="dxa"/>
            <w:vMerge/>
          </w:tcPr>
          <w:p w:rsidR="00D81178" w:rsidRPr="009C7215" w:rsidRDefault="00D81178" w:rsidP="00D81178">
            <w:pPr>
              <w:jc w:val="center"/>
              <w:rPr>
                <w:rFonts w:asciiTheme="majorBidi" w:hAnsiTheme="majorBidi" w:cstheme="majorBidi"/>
              </w:rPr>
            </w:pPr>
          </w:p>
        </w:tc>
        <w:tc>
          <w:tcPr>
            <w:tcW w:w="3716" w:type="dxa"/>
            <w:noWrap/>
          </w:tcPr>
          <w:p w:rsidR="00D81178" w:rsidRPr="009C7215" w:rsidRDefault="00D81178" w:rsidP="00D81178">
            <w:pPr>
              <w:rPr>
                <w:rFonts w:asciiTheme="majorBidi" w:hAnsiTheme="majorBidi" w:cstheme="majorBidi"/>
              </w:rPr>
            </w:pPr>
            <w:r w:rsidRPr="009C7215">
              <w:rPr>
                <w:rFonts w:asciiTheme="majorBidi" w:hAnsiTheme="majorBidi" w:cstheme="majorBidi"/>
              </w:rPr>
              <w:t>pleca locītavas endoprotezēšana</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22</w:t>
            </w:r>
          </w:p>
        </w:tc>
      </w:tr>
      <w:tr w:rsidR="009C7215" w:rsidRPr="009C7215" w:rsidTr="00321B90">
        <w:trPr>
          <w:gridBefore w:val="1"/>
          <w:wBefore w:w="18" w:type="dxa"/>
          <w:trHeight w:val="300"/>
        </w:trPr>
        <w:tc>
          <w:tcPr>
            <w:tcW w:w="5570" w:type="dxa"/>
            <w:gridSpan w:val="2"/>
            <w:shd w:val="clear" w:color="auto" w:fill="EAF1DD" w:themeFill="accent3" w:themeFillTint="33"/>
            <w:noWrap/>
          </w:tcPr>
          <w:p w:rsidR="00D81178" w:rsidRPr="009C7215" w:rsidRDefault="00D81178" w:rsidP="00321B90">
            <w:pPr>
              <w:jc w:val="right"/>
              <w:rPr>
                <w:rFonts w:asciiTheme="majorBidi" w:hAnsiTheme="majorBidi" w:cstheme="majorBidi"/>
                <w:i/>
                <w:iCs/>
              </w:rPr>
            </w:pPr>
            <w:r w:rsidRPr="009C7215">
              <w:rPr>
                <w:rFonts w:asciiTheme="majorBidi" w:hAnsiTheme="majorBidi" w:cstheme="majorBidi"/>
                <w:i/>
                <w:iCs/>
              </w:rPr>
              <w:t xml:space="preserve">kopā </w:t>
            </w:r>
          </w:p>
        </w:tc>
        <w:tc>
          <w:tcPr>
            <w:tcW w:w="1642" w:type="dxa"/>
            <w:shd w:val="clear" w:color="auto" w:fill="EAF1DD" w:themeFill="accent3" w:themeFillTint="33"/>
            <w:noWrap/>
            <w:vAlign w:val="center"/>
          </w:tcPr>
          <w:p w:rsidR="00D81178" w:rsidRPr="009C7215" w:rsidRDefault="00D81178" w:rsidP="00321B90">
            <w:pPr>
              <w:jc w:val="center"/>
              <w:rPr>
                <w:rFonts w:asciiTheme="majorBidi" w:hAnsiTheme="majorBidi" w:cstheme="majorBidi"/>
                <w:b/>
                <w:i/>
                <w:iCs/>
              </w:rPr>
            </w:pPr>
            <w:r w:rsidRPr="009C7215">
              <w:rPr>
                <w:rFonts w:asciiTheme="majorBidi" w:hAnsiTheme="majorBidi" w:cstheme="majorBidi"/>
                <w:b/>
                <w:i/>
                <w:iCs/>
              </w:rPr>
              <w:t>76</w:t>
            </w:r>
          </w:p>
        </w:tc>
      </w:tr>
      <w:tr w:rsidR="009C7215" w:rsidRPr="009C7215" w:rsidTr="00321B90">
        <w:trPr>
          <w:gridBefore w:val="1"/>
          <w:wBefore w:w="18" w:type="dxa"/>
          <w:trHeight w:val="285"/>
        </w:trPr>
        <w:tc>
          <w:tcPr>
            <w:tcW w:w="5570" w:type="dxa"/>
            <w:gridSpan w:val="2"/>
            <w:shd w:val="clear" w:color="auto" w:fill="D9D9D9" w:themeFill="background1" w:themeFillShade="D9"/>
            <w:noWrap/>
          </w:tcPr>
          <w:p w:rsidR="00D81178" w:rsidRPr="009C7215" w:rsidRDefault="00D81178" w:rsidP="00321B90">
            <w:pPr>
              <w:rPr>
                <w:rFonts w:asciiTheme="majorBidi" w:hAnsiTheme="majorBidi" w:cstheme="majorBidi"/>
                <w:b/>
                <w:bCs/>
              </w:rPr>
            </w:pPr>
            <w:r w:rsidRPr="009C7215">
              <w:rPr>
                <w:rFonts w:asciiTheme="majorBidi" w:hAnsiTheme="majorBidi" w:cstheme="majorBidi"/>
                <w:b/>
                <w:bCs/>
              </w:rPr>
              <w:t>Pavisam kopā primārās endoprotezēšanas operācijas</w:t>
            </w:r>
          </w:p>
        </w:tc>
        <w:tc>
          <w:tcPr>
            <w:tcW w:w="1642" w:type="dxa"/>
            <w:shd w:val="clear" w:color="auto" w:fill="D9D9D9" w:themeFill="background1" w:themeFillShade="D9"/>
            <w:noWrap/>
            <w:vAlign w:val="center"/>
          </w:tcPr>
          <w:p w:rsidR="00D81178" w:rsidRPr="009C7215" w:rsidRDefault="00D81178" w:rsidP="00321B90">
            <w:pPr>
              <w:jc w:val="center"/>
              <w:rPr>
                <w:rFonts w:asciiTheme="majorBidi" w:hAnsiTheme="majorBidi" w:cstheme="majorBidi"/>
                <w:b/>
                <w:bCs/>
                <w:i/>
              </w:rPr>
            </w:pPr>
            <w:r w:rsidRPr="009C7215">
              <w:rPr>
                <w:rFonts w:asciiTheme="majorBidi" w:hAnsiTheme="majorBidi" w:cstheme="majorBidi"/>
                <w:b/>
                <w:bCs/>
                <w:i/>
              </w:rPr>
              <w:t>1 089</w:t>
            </w:r>
          </w:p>
        </w:tc>
      </w:tr>
      <w:tr w:rsidR="009C7215" w:rsidRPr="009C7215" w:rsidTr="00321B90">
        <w:trPr>
          <w:gridBefore w:val="1"/>
          <w:wBefore w:w="18" w:type="dxa"/>
          <w:trHeight w:val="300"/>
        </w:trPr>
        <w:tc>
          <w:tcPr>
            <w:tcW w:w="1854" w:type="dxa"/>
            <w:vMerge w:val="restart"/>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revīzijas operācijas</w:t>
            </w:r>
          </w:p>
        </w:tc>
        <w:tc>
          <w:tcPr>
            <w:tcW w:w="3716" w:type="dxa"/>
            <w:noWrap/>
          </w:tcPr>
          <w:p w:rsidR="00D81178" w:rsidRPr="009C7215" w:rsidRDefault="00D81178" w:rsidP="00321B90">
            <w:pPr>
              <w:rPr>
                <w:rFonts w:asciiTheme="majorBidi" w:hAnsiTheme="majorBidi" w:cstheme="majorBidi"/>
              </w:rPr>
            </w:pPr>
            <w:r w:rsidRPr="009C7215">
              <w:rPr>
                <w:rFonts w:asciiTheme="majorBidi" w:hAnsiTheme="majorBidi" w:cstheme="majorBidi"/>
              </w:rPr>
              <w:t>gūžas locītavas revīzijas operācijas</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134</w:t>
            </w:r>
          </w:p>
        </w:tc>
      </w:tr>
      <w:tr w:rsidR="009C7215" w:rsidRPr="009C7215" w:rsidTr="00321B90">
        <w:trPr>
          <w:gridBefore w:val="1"/>
          <w:wBefore w:w="18" w:type="dxa"/>
          <w:trHeight w:val="300"/>
        </w:trPr>
        <w:tc>
          <w:tcPr>
            <w:tcW w:w="1854" w:type="dxa"/>
            <w:vMerge/>
          </w:tcPr>
          <w:p w:rsidR="00D81178" w:rsidRPr="009C7215" w:rsidRDefault="00D81178" w:rsidP="00321B90">
            <w:pPr>
              <w:jc w:val="center"/>
              <w:rPr>
                <w:rFonts w:asciiTheme="majorBidi" w:hAnsiTheme="majorBidi" w:cstheme="majorBidi"/>
              </w:rPr>
            </w:pPr>
          </w:p>
        </w:tc>
        <w:tc>
          <w:tcPr>
            <w:tcW w:w="3716" w:type="dxa"/>
            <w:noWrap/>
          </w:tcPr>
          <w:p w:rsidR="00D81178" w:rsidRPr="009C7215" w:rsidRDefault="00D81178" w:rsidP="00321B90">
            <w:pPr>
              <w:rPr>
                <w:rFonts w:asciiTheme="majorBidi" w:hAnsiTheme="majorBidi" w:cstheme="majorBidi"/>
              </w:rPr>
            </w:pPr>
            <w:r w:rsidRPr="009C7215">
              <w:rPr>
                <w:rFonts w:asciiTheme="majorBidi" w:hAnsiTheme="majorBidi" w:cstheme="majorBidi"/>
              </w:rPr>
              <w:t>ceļa locītavas revīzijas operācijas</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40</w:t>
            </w:r>
          </w:p>
        </w:tc>
      </w:tr>
      <w:tr w:rsidR="009C7215" w:rsidRPr="009C7215" w:rsidTr="00321B90">
        <w:trPr>
          <w:gridBefore w:val="1"/>
          <w:wBefore w:w="18" w:type="dxa"/>
          <w:trHeight w:val="300"/>
        </w:trPr>
        <w:tc>
          <w:tcPr>
            <w:tcW w:w="1854" w:type="dxa"/>
            <w:vMerge/>
          </w:tcPr>
          <w:p w:rsidR="00D81178" w:rsidRPr="009C7215" w:rsidRDefault="00D81178" w:rsidP="00321B90">
            <w:pPr>
              <w:jc w:val="center"/>
              <w:rPr>
                <w:rFonts w:asciiTheme="majorBidi" w:hAnsiTheme="majorBidi" w:cstheme="majorBidi"/>
              </w:rPr>
            </w:pPr>
          </w:p>
        </w:tc>
        <w:tc>
          <w:tcPr>
            <w:tcW w:w="3716" w:type="dxa"/>
            <w:noWrap/>
          </w:tcPr>
          <w:p w:rsidR="00D81178" w:rsidRPr="009C7215" w:rsidRDefault="00D81178" w:rsidP="00321B90">
            <w:pPr>
              <w:rPr>
                <w:rFonts w:asciiTheme="majorBidi" w:hAnsiTheme="majorBidi" w:cstheme="majorBidi"/>
              </w:rPr>
            </w:pPr>
            <w:r w:rsidRPr="009C7215">
              <w:rPr>
                <w:rFonts w:asciiTheme="majorBidi" w:hAnsiTheme="majorBidi" w:cstheme="majorBidi"/>
              </w:rPr>
              <w:t>elkoņa locītavas revīzijas operācijas</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1</w:t>
            </w:r>
          </w:p>
        </w:tc>
      </w:tr>
      <w:tr w:rsidR="009C7215" w:rsidRPr="009C7215" w:rsidTr="00321B90">
        <w:trPr>
          <w:gridBefore w:val="1"/>
          <w:wBefore w:w="18" w:type="dxa"/>
          <w:trHeight w:val="300"/>
        </w:trPr>
        <w:tc>
          <w:tcPr>
            <w:tcW w:w="1854" w:type="dxa"/>
            <w:vMerge/>
          </w:tcPr>
          <w:p w:rsidR="00D81178" w:rsidRPr="009C7215" w:rsidRDefault="00D81178" w:rsidP="00321B90">
            <w:pPr>
              <w:jc w:val="center"/>
              <w:rPr>
                <w:rFonts w:asciiTheme="majorBidi" w:hAnsiTheme="majorBidi" w:cstheme="majorBidi"/>
              </w:rPr>
            </w:pPr>
          </w:p>
        </w:tc>
        <w:tc>
          <w:tcPr>
            <w:tcW w:w="3716" w:type="dxa"/>
            <w:noWrap/>
          </w:tcPr>
          <w:p w:rsidR="00D81178" w:rsidRPr="009C7215" w:rsidRDefault="00D81178" w:rsidP="00321B90">
            <w:pPr>
              <w:rPr>
                <w:rFonts w:asciiTheme="majorBidi" w:hAnsiTheme="majorBidi" w:cstheme="majorBidi"/>
              </w:rPr>
            </w:pPr>
            <w:r w:rsidRPr="009C7215">
              <w:rPr>
                <w:rFonts w:asciiTheme="majorBidi" w:hAnsiTheme="majorBidi" w:cstheme="majorBidi"/>
              </w:rPr>
              <w:t>pleca locītavas revīzijas operācijas</w:t>
            </w:r>
          </w:p>
        </w:tc>
        <w:tc>
          <w:tcPr>
            <w:tcW w:w="1642"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2</w:t>
            </w:r>
          </w:p>
        </w:tc>
      </w:tr>
      <w:tr w:rsidR="009C7215" w:rsidRPr="009C7215" w:rsidTr="00321B90">
        <w:trPr>
          <w:gridBefore w:val="1"/>
          <w:wBefore w:w="18" w:type="dxa"/>
          <w:trHeight w:val="300"/>
        </w:trPr>
        <w:tc>
          <w:tcPr>
            <w:tcW w:w="5570" w:type="dxa"/>
            <w:gridSpan w:val="2"/>
            <w:shd w:val="clear" w:color="auto" w:fill="EAF1DD" w:themeFill="accent3" w:themeFillTint="33"/>
          </w:tcPr>
          <w:p w:rsidR="00D81178" w:rsidRPr="009C7215" w:rsidRDefault="00D81178" w:rsidP="00321B90">
            <w:pPr>
              <w:jc w:val="right"/>
              <w:rPr>
                <w:rFonts w:asciiTheme="majorBidi" w:hAnsiTheme="majorBidi" w:cstheme="majorBidi"/>
                <w:i/>
                <w:iCs/>
              </w:rPr>
            </w:pPr>
            <w:r w:rsidRPr="009C7215">
              <w:rPr>
                <w:rFonts w:asciiTheme="majorBidi" w:hAnsiTheme="majorBidi" w:cstheme="majorBidi"/>
                <w:i/>
                <w:iCs/>
              </w:rPr>
              <w:t xml:space="preserve">kopā </w:t>
            </w:r>
          </w:p>
        </w:tc>
        <w:tc>
          <w:tcPr>
            <w:tcW w:w="1642" w:type="dxa"/>
            <w:shd w:val="clear" w:color="auto" w:fill="EAF1DD" w:themeFill="accent3" w:themeFillTint="33"/>
            <w:noWrap/>
            <w:vAlign w:val="center"/>
          </w:tcPr>
          <w:p w:rsidR="00D81178" w:rsidRPr="009C7215" w:rsidRDefault="00D81178" w:rsidP="00321B90">
            <w:pPr>
              <w:jc w:val="center"/>
              <w:rPr>
                <w:rFonts w:asciiTheme="majorBidi" w:hAnsiTheme="majorBidi" w:cstheme="majorBidi"/>
                <w:b/>
                <w:i/>
                <w:iCs/>
              </w:rPr>
            </w:pPr>
            <w:r w:rsidRPr="009C7215">
              <w:rPr>
                <w:rFonts w:asciiTheme="majorBidi" w:hAnsiTheme="majorBidi" w:cstheme="majorBidi"/>
                <w:b/>
                <w:i/>
                <w:iCs/>
              </w:rPr>
              <w:t>176</w:t>
            </w:r>
          </w:p>
        </w:tc>
      </w:tr>
      <w:tr w:rsidR="009C7215" w:rsidRPr="009C7215" w:rsidTr="00321B90">
        <w:trPr>
          <w:gridBefore w:val="1"/>
          <w:wBefore w:w="18" w:type="dxa"/>
          <w:trHeight w:val="287"/>
        </w:trPr>
        <w:tc>
          <w:tcPr>
            <w:tcW w:w="5570" w:type="dxa"/>
            <w:gridSpan w:val="2"/>
            <w:shd w:val="clear" w:color="auto" w:fill="D9D9D9" w:themeFill="background1" w:themeFillShade="D9"/>
          </w:tcPr>
          <w:p w:rsidR="00D81178" w:rsidRPr="009C7215" w:rsidRDefault="00D81178" w:rsidP="00321B90">
            <w:pPr>
              <w:rPr>
                <w:rFonts w:asciiTheme="majorBidi" w:hAnsiTheme="majorBidi" w:cstheme="majorBidi"/>
                <w:b/>
                <w:bCs/>
              </w:rPr>
            </w:pPr>
            <w:r w:rsidRPr="009C7215">
              <w:rPr>
                <w:rFonts w:asciiTheme="majorBidi" w:hAnsiTheme="majorBidi" w:cstheme="majorBidi"/>
                <w:b/>
                <w:bCs/>
              </w:rPr>
              <w:t>Kopā  endoprotezēšanas operācijas</w:t>
            </w:r>
          </w:p>
        </w:tc>
        <w:tc>
          <w:tcPr>
            <w:tcW w:w="1642" w:type="dxa"/>
            <w:shd w:val="clear" w:color="auto" w:fill="D9D9D9" w:themeFill="background1" w:themeFillShade="D9"/>
            <w:noWrap/>
            <w:vAlign w:val="center"/>
          </w:tcPr>
          <w:p w:rsidR="00D81178" w:rsidRPr="009C7215" w:rsidRDefault="00D81178" w:rsidP="00321B90">
            <w:pPr>
              <w:jc w:val="center"/>
              <w:rPr>
                <w:rFonts w:asciiTheme="majorBidi" w:hAnsiTheme="majorBidi" w:cstheme="majorBidi"/>
                <w:b/>
                <w:bCs/>
              </w:rPr>
            </w:pPr>
            <w:r w:rsidRPr="009C7215">
              <w:rPr>
                <w:rFonts w:asciiTheme="majorBidi" w:hAnsiTheme="majorBidi" w:cstheme="majorBidi"/>
                <w:b/>
                <w:bCs/>
              </w:rPr>
              <w:t>1 265</w:t>
            </w:r>
          </w:p>
        </w:tc>
      </w:tr>
    </w:tbl>
    <w:p w:rsidR="00064559" w:rsidRPr="009C7215" w:rsidRDefault="00064559" w:rsidP="00064559">
      <w:pPr>
        <w:jc w:val="both"/>
        <w:rPr>
          <w:rFonts w:asciiTheme="majorBidi" w:hAnsiTheme="majorBidi" w:cstheme="majorBidi"/>
        </w:rPr>
      </w:pPr>
    </w:p>
    <w:p w:rsidR="00677BEE" w:rsidRPr="009C7215" w:rsidRDefault="00677BEE" w:rsidP="009D1521">
      <w:pPr>
        <w:jc w:val="both"/>
        <w:rPr>
          <w:rFonts w:asciiTheme="majorBidi" w:hAnsiTheme="majorBidi" w:cstheme="majorBidi"/>
          <w:b/>
          <w:bCs/>
          <w:u w:val="single"/>
        </w:rPr>
      </w:pPr>
    </w:p>
    <w:p w:rsidR="009678D5" w:rsidRPr="009C7215" w:rsidRDefault="00B02F65" w:rsidP="00E51A47">
      <w:pPr>
        <w:jc w:val="both"/>
        <w:rPr>
          <w:rFonts w:asciiTheme="majorBidi" w:hAnsiTheme="majorBidi" w:cstheme="majorBidi"/>
          <w:b/>
          <w:u w:val="single"/>
        </w:rPr>
      </w:pPr>
      <w:r w:rsidRPr="009C7215">
        <w:rPr>
          <w:rFonts w:asciiTheme="majorBidi" w:hAnsiTheme="majorBidi" w:cstheme="majorBidi"/>
          <w:b/>
          <w:bCs/>
          <w:u w:val="single"/>
        </w:rPr>
        <w:t xml:space="preserve">Statistika par ārstēto un operēto  pacientu sastāvu  pēc diagnožu profiliem </w:t>
      </w:r>
      <w:r w:rsidR="009678D5" w:rsidRPr="009C7215">
        <w:rPr>
          <w:rFonts w:asciiTheme="majorBidi" w:hAnsiTheme="majorBidi" w:cstheme="majorBidi"/>
          <w:b/>
          <w:u w:val="single"/>
        </w:rPr>
        <w:t>201</w:t>
      </w:r>
      <w:r w:rsidR="0054520C" w:rsidRPr="009C7215">
        <w:rPr>
          <w:rFonts w:asciiTheme="majorBidi" w:hAnsiTheme="majorBidi" w:cstheme="majorBidi"/>
          <w:b/>
          <w:u w:val="single"/>
        </w:rPr>
        <w:t>6</w:t>
      </w:r>
      <w:r w:rsidR="0040425D" w:rsidRPr="009C7215">
        <w:rPr>
          <w:rFonts w:asciiTheme="majorBidi" w:hAnsiTheme="majorBidi" w:cstheme="majorBidi"/>
          <w:b/>
          <w:u w:val="single"/>
        </w:rPr>
        <w:t xml:space="preserve">. gada </w:t>
      </w:r>
      <w:r w:rsidR="00B342FA" w:rsidRPr="009C7215">
        <w:rPr>
          <w:rFonts w:asciiTheme="majorBidi" w:hAnsiTheme="majorBidi" w:cstheme="majorBidi"/>
          <w:b/>
          <w:u w:val="single"/>
        </w:rPr>
        <w:t xml:space="preserve">janvārī </w:t>
      </w:r>
      <w:r w:rsidR="009678D5" w:rsidRPr="009C7215">
        <w:rPr>
          <w:rFonts w:asciiTheme="majorBidi" w:hAnsiTheme="majorBidi" w:cstheme="majorBidi"/>
          <w:b/>
          <w:u w:val="single"/>
        </w:rPr>
        <w:t>–</w:t>
      </w:r>
      <w:r w:rsidR="00B342FA" w:rsidRPr="009C7215">
        <w:rPr>
          <w:rFonts w:asciiTheme="majorBidi" w:hAnsiTheme="majorBidi" w:cstheme="majorBidi"/>
          <w:b/>
          <w:u w:val="single"/>
        </w:rPr>
        <w:t xml:space="preserve"> </w:t>
      </w:r>
    </w:p>
    <w:p w:rsidR="009D4BF1" w:rsidRPr="009C7215" w:rsidRDefault="00D81178" w:rsidP="009D4BF1">
      <w:pPr>
        <w:jc w:val="both"/>
        <w:rPr>
          <w:rFonts w:asciiTheme="majorBidi" w:hAnsiTheme="majorBidi" w:cstheme="majorBidi"/>
          <w:b/>
          <w:u w:val="single"/>
        </w:rPr>
      </w:pPr>
      <w:r w:rsidRPr="009C7215">
        <w:rPr>
          <w:rFonts w:asciiTheme="majorBidi" w:hAnsiTheme="majorBidi" w:cstheme="majorBidi"/>
          <w:b/>
          <w:u w:val="single"/>
        </w:rPr>
        <w:t>septembrī</w:t>
      </w:r>
    </w:p>
    <w:p w:rsidR="00B02F65" w:rsidRPr="009C7215" w:rsidRDefault="00B02F65" w:rsidP="00B02F65">
      <w:pPr>
        <w:jc w:val="both"/>
        <w:rPr>
          <w:rFonts w:asciiTheme="majorBidi" w:hAnsiTheme="majorBidi" w:cstheme="majorBidi"/>
        </w:rPr>
      </w:pPr>
    </w:p>
    <w:tbl>
      <w:tblPr>
        <w:tblStyle w:val="TableGrid"/>
        <w:tblW w:w="8129" w:type="dxa"/>
        <w:tblLook w:val="00A0" w:firstRow="1" w:lastRow="0" w:firstColumn="1" w:lastColumn="0" w:noHBand="0" w:noVBand="0"/>
      </w:tblPr>
      <w:tblGrid>
        <w:gridCol w:w="1349"/>
        <w:gridCol w:w="761"/>
        <w:gridCol w:w="1027"/>
        <w:gridCol w:w="877"/>
        <w:gridCol w:w="972"/>
        <w:gridCol w:w="932"/>
        <w:gridCol w:w="930"/>
        <w:gridCol w:w="1281"/>
      </w:tblGrid>
      <w:tr w:rsidR="009C7215" w:rsidRPr="009C7215" w:rsidTr="006030EC">
        <w:trPr>
          <w:trHeight w:val="720"/>
        </w:trPr>
        <w:tc>
          <w:tcPr>
            <w:tcW w:w="1349" w:type="dxa"/>
            <w:shd w:val="clear" w:color="auto" w:fill="D9D9D9" w:themeFill="background1" w:themeFillShade="D9"/>
            <w:vAlign w:val="center"/>
            <w:hideMark/>
          </w:tcPr>
          <w:p w:rsidR="0067733A" w:rsidRPr="009C7215" w:rsidRDefault="0067733A" w:rsidP="0067733A">
            <w:pPr>
              <w:jc w:val="center"/>
              <w:rPr>
                <w:rFonts w:asciiTheme="majorBidi" w:hAnsiTheme="majorBidi" w:cstheme="majorBidi"/>
                <w:bCs/>
              </w:rPr>
            </w:pPr>
            <w:r w:rsidRPr="009C7215">
              <w:rPr>
                <w:rFonts w:asciiTheme="majorBidi" w:hAnsiTheme="majorBidi" w:cstheme="majorBidi"/>
                <w:bCs/>
              </w:rPr>
              <w:t>Ārstēto pacientu sastāvs</w:t>
            </w:r>
          </w:p>
        </w:tc>
        <w:tc>
          <w:tcPr>
            <w:tcW w:w="761" w:type="dxa"/>
            <w:shd w:val="clear" w:color="auto" w:fill="D9D9D9" w:themeFill="background1" w:themeFillShade="D9"/>
            <w:vAlign w:val="center"/>
            <w:hideMark/>
          </w:tcPr>
          <w:p w:rsidR="0067733A" w:rsidRPr="009C7215" w:rsidRDefault="0067733A" w:rsidP="0067733A">
            <w:pPr>
              <w:jc w:val="center"/>
              <w:rPr>
                <w:rFonts w:asciiTheme="majorBidi" w:hAnsiTheme="majorBidi" w:cstheme="majorBidi"/>
                <w:bCs/>
              </w:rPr>
            </w:pPr>
            <w:r w:rsidRPr="009C7215">
              <w:rPr>
                <w:rFonts w:asciiTheme="majorBidi" w:hAnsiTheme="majorBidi" w:cstheme="majorBidi"/>
                <w:bCs/>
              </w:rPr>
              <w:t>KOPĀ</w:t>
            </w:r>
          </w:p>
        </w:tc>
        <w:tc>
          <w:tcPr>
            <w:tcW w:w="1027" w:type="dxa"/>
            <w:shd w:val="clear" w:color="auto" w:fill="D9D9D9" w:themeFill="background1" w:themeFillShade="D9"/>
            <w:vAlign w:val="center"/>
            <w:hideMark/>
          </w:tcPr>
          <w:p w:rsidR="0067733A" w:rsidRPr="009C7215" w:rsidRDefault="0067733A" w:rsidP="0067733A">
            <w:pPr>
              <w:jc w:val="center"/>
              <w:rPr>
                <w:rFonts w:asciiTheme="majorBidi" w:hAnsiTheme="majorBidi" w:cstheme="majorBidi"/>
                <w:bCs/>
              </w:rPr>
            </w:pPr>
            <w:r w:rsidRPr="009C7215">
              <w:rPr>
                <w:rFonts w:asciiTheme="majorBidi" w:hAnsiTheme="majorBidi" w:cstheme="majorBidi"/>
                <w:bCs/>
              </w:rPr>
              <w:t>Vidējais ārstēšanas ilgums</w:t>
            </w:r>
          </w:p>
        </w:tc>
        <w:tc>
          <w:tcPr>
            <w:tcW w:w="877" w:type="dxa"/>
            <w:shd w:val="clear" w:color="auto" w:fill="D9D9D9" w:themeFill="background1" w:themeFillShade="D9"/>
            <w:vAlign w:val="center"/>
            <w:hideMark/>
          </w:tcPr>
          <w:p w:rsidR="0067733A" w:rsidRPr="009C7215" w:rsidRDefault="0067733A" w:rsidP="002841D2">
            <w:pPr>
              <w:jc w:val="center"/>
              <w:rPr>
                <w:rFonts w:asciiTheme="majorBidi" w:hAnsiTheme="majorBidi" w:cstheme="majorBidi"/>
                <w:bCs/>
              </w:rPr>
            </w:pPr>
            <w:r w:rsidRPr="009C7215">
              <w:rPr>
                <w:rFonts w:asciiTheme="majorBidi" w:hAnsiTheme="majorBidi" w:cstheme="majorBidi"/>
                <w:bCs/>
              </w:rPr>
              <w:t>Miruši</w:t>
            </w:r>
          </w:p>
        </w:tc>
        <w:tc>
          <w:tcPr>
            <w:tcW w:w="972" w:type="dxa"/>
            <w:shd w:val="clear" w:color="auto" w:fill="D9D9D9" w:themeFill="background1" w:themeFillShade="D9"/>
            <w:vAlign w:val="center"/>
            <w:hideMark/>
          </w:tcPr>
          <w:p w:rsidR="0067733A" w:rsidRPr="009C7215" w:rsidRDefault="0067733A" w:rsidP="0067733A">
            <w:pPr>
              <w:jc w:val="center"/>
              <w:rPr>
                <w:rFonts w:asciiTheme="majorBidi" w:hAnsiTheme="majorBidi" w:cstheme="majorBidi"/>
                <w:bCs/>
              </w:rPr>
            </w:pPr>
            <w:r w:rsidRPr="009C7215">
              <w:rPr>
                <w:rFonts w:asciiTheme="majorBidi" w:hAnsiTheme="majorBidi" w:cstheme="majorBidi"/>
                <w:bCs/>
              </w:rPr>
              <w:t>Letalitāte %</w:t>
            </w:r>
          </w:p>
        </w:tc>
        <w:tc>
          <w:tcPr>
            <w:tcW w:w="932" w:type="dxa"/>
            <w:shd w:val="clear" w:color="auto" w:fill="D9D9D9" w:themeFill="background1" w:themeFillShade="D9"/>
            <w:vAlign w:val="center"/>
            <w:hideMark/>
          </w:tcPr>
          <w:p w:rsidR="0067733A" w:rsidRPr="009C7215" w:rsidRDefault="0067733A" w:rsidP="0067733A">
            <w:pPr>
              <w:jc w:val="center"/>
              <w:rPr>
                <w:rFonts w:asciiTheme="majorBidi" w:hAnsiTheme="majorBidi" w:cstheme="majorBidi"/>
                <w:bCs/>
              </w:rPr>
            </w:pPr>
            <w:r w:rsidRPr="009C7215">
              <w:rPr>
                <w:rFonts w:asciiTheme="majorBidi" w:hAnsiTheme="majorBidi" w:cstheme="majorBidi"/>
                <w:bCs/>
              </w:rPr>
              <w:t>Operēto pacientu skaits</w:t>
            </w:r>
          </w:p>
        </w:tc>
        <w:tc>
          <w:tcPr>
            <w:tcW w:w="930" w:type="dxa"/>
            <w:shd w:val="clear" w:color="auto" w:fill="D9D9D9" w:themeFill="background1" w:themeFillShade="D9"/>
            <w:vAlign w:val="center"/>
            <w:hideMark/>
          </w:tcPr>
          <w:p w:rsidR="0067733A" w:rsidRPr="009C7215" w:rsidRDefault="0067733A" w:rsidP="0067733A">
            <w:pPr>
              <w:jc w:val="center"/>
              <w:rPr>
                <w:rFonts w:asciiTheme="majorBidi" w:hAnsiTheme="majorBidi" w:cstheme="majorBidi"/>
                <w:bCs/>
              </w:rPr>
            </w:pPr>
            <w:r w:rsidRPr="009C7215">
              <w:rPr>
                <w:rFonts w:asciiTheme="majorBidi" w:hAnsiTheme="majorBidi" w:cstheme="majorBidi"/>
                <w:bCs/>
              </w:rPr>
              <w:t>Operēto pacientu skaits     %</w:t>
            </w:r>
          </w:p>
        </w:tc>
        <w:tc>
          <w:tcPr>
            <w:tcW w:w="1281" w:type="dxa"/>
            <w:shd w:val="clear" w:color="auto" w:fill="D9D9D9" w:themeFill="background1" w:themeFillShade="D9"/>
            <w:vAlign w:val="center"/>
            <w:hideMark/>
          </w:tcPr>
          <w:p w:rsidR="0067733A" w:rsidRPr="009C7215" w:rsidRDefault="0067733A" w:rsidP="0067733A">
            <w:pPr>
              <w:jc w:val="center"/>
              <w:rPr>
                <w:rFonts w:asciiTheme="majorBidi" w:hAnsiTheme="majorBidi" w:cstheme="majorBidi"/>
                <w:bCs/>
              </w:rPr>
            </w:pPr>
            <w:r w:rsidRPr="009C7215">
              <w:rPr>
                <w:rFonts w:asciiTheme="majorBidi" w:hAnsiTheme="majorBidi" w:cstheme="majorBidi"/>
                <w:bCs/>
              </w:rPr>
              <w:t>Operāciju skaits</w:t>
            </w:r>
          </w:p>
        </w:tc>
      </w:tr>
      <w:tr w:rsidR="009C7215" w:rsidRPr="009C7215" w:rsidTr="007F42DD">
        <w:trPr>
          <w:trHeight w:val="509"/>
        </w:trPr>
        <w:tc>
          <w:tcPr>
            <w:tcW w:w="1349" w:type="dxa"/>
            <w:hideMark/>
          </w:tcPr>
          <w:p w:rsidR="00D81178" w:rsidRPr="009C7215" w:rsidRDefault="00D81178" w:rsidP="00BC57C7">
            <w:pPr>
              <w:rPr>
                <w:rFonts w:asciiTheme="majorBidi" w:hAnsiTheme="majorBidi" w:cstheme="majorBidi"/>
                <w:bCs/>
              </w:rPr>
            </w:pPr>
            <w:r w:rsidRPr="009C7215">
              <w:rPr>
                <w:rFonts w:asciiTheme="majorBidi" w:hAnsiTheme="majorBidi" w:cstheme="majorBidi"/>
                <w:bCs/>
              </w:rPr>
              <w:t>Ārstētie pacienti</w:t>
            </w:r>
          </w:p>
        </w:tc>
        <w:tc>
          <w:tcPr>
            <w:tcW w:w="761" w:type="dxa"/>
            <w:vAlign w:val="center"/>
          </w:tcPr>
          <w:p w:rsidR="00D81178" w:rsidRPr="009C7215" w:rsidRDefault="00D81178" w:rsidP="00321B90">
            <w:pPr>
              <w:jc w:val="center"/>
              <w:rPr>
                <w:rFonts w:asciiTheme="majorBidi" w:hAnsiTheme="majorBidi" w:cstheme="majorBidi"/>
                <w:b/>
              </w:rPr>
            </w:pPr>
            <w:r w:rsidRPr="009C7215">
              <w:rPr>
                <w:rFonts w:asciiTheme="majorBidi" w:hAnsiTheme="majorBidi" w:cstheme="majorBidi"/>
                <w:b/>
              </w:rPr>
              <w:t>4 760</w:t>
            </w:r>
          </w:p>
        </w:tc>
        <w:tc>
          <w:tcPr>
            <w:tcW w:w="1027" w:type="dxa"/>
            <w:vAlign w:val="center"/>
          </w:tcPr>
          <w:p w:rsidR="00D81178" w:rsidRPr="009C7215" w:rsidRDefault="00D81178" w:rsidP="00321B90">
            <w:pPr>
              <w:jc w:val="center"/>
              <w:rPr>
                <w:rFonts w:asciiTheme="majorBidi" w:hAnsiTheme="majorBidi" w:cstheme="majorBidi"/>
                <w:b/>
              </w:rPr>
            </w:pPr>
            <w:r w:rsidRPr="009C7215">
              <w:rPr>
                <w:rFonts w:asciiTheme="majorBidi" w:hAnsiTheme="majorBidi" w:cstheme="majorBidi"/>
                <w:b/>
              </w:rPr>
              <w:t>6.97</w:t>
            </w:r>
          </w:p>
        </w:tc>
        <w:tc>
          <w:tcPr>
            <w:tcW w:w="877" w:type="dxa"/>
            <w:vAlign w:val="center"/>
          </w:tcPr>
          <w:p w:rsidR="00D81178" w:rsidRPr="009C7215" w:rsidRDefault="00D81178" w:rsidP="00321B90">
            <w:pPr>
              <w:jc w:val="center"/>
              <w:rPr>
                <w:rFonts w:asciiTheme="majorBidi" w:hAnsiTheme="majorBidi" w:cstheme="majorBidi"/>
                <w:b/>
              </w:rPr>
            </w:pPr>
            <w:r w:rsidRPr="009C7215">
              <w:rPr>
                <w:rFonts w:asciiTheme="majorBidi" w:hAnsiTheme="majorBidi" w:cstheme="majorBidi"/>
                <w:b/>
              </w:rPr>
              <w:t>18</w:t>
            </w:r>
          </w:p>
        </w:tc>
        <w:tc>
          <w:tcPr>
            <w:tcW w:w="972" w:type="dxa"/>
            <w:vAlign w:val="center"/>
          </w:tcPr>
          <w:p w:rsidR="00D81178" w:rsidRPr="009C7215" w:rsidRDefault="00D81178" w:rsidP="00321B90">
            <w:pPr>
              <w:jc w:val="center"/>
              <w:rPr>
                <w:rFonts w:asciiTheme="majorBidi" w:hAnsiTheme="majorBidi" w:cstheme="majorBidi"/>
                <w:b/>
              </w:rPr>
            </w:pPr>
            <w:r w:rsidRPr="009C7215">
              <w:rPr>
                <w:rFonts w:asciiTheme="majorBidi" w:hAnsiTheme="majorBidi" w:cstheme="majorBidi"/>
                <w:b/>
              </w:rPr>
              <w:t>0.38</w:t>
            </w:r>
          </w:p>
        </w:tc>
        <w:tc>
          <w:tcPr>
            <w:tcW w:w="932" w:type="dxa"/>
            <w:vAlign w:val="center"/>
          </w:tcPr>
          <w:p w:rsidR="00D81178" w:rsidRPr="009C7215" w:rsidRDefault="00D81178" w:rsidP="00321B90">
            <w:pPr>
              <w:jc w:val="center"/>
              <w:rPr>
                <w:rFonts w:asciiTheme="majorBidi" w:hAnsiTheme="majorBidi" w:cstheme="majorBidi"/>
                <w:b/>
              </w:rPr>
            </w:pPr>
            <w:r w:rsidRPr="009C7215">
              <w:rPr>
                <w:rFonts w:asciiTheme="majorBidi" w:hAnsiTheme="majorBidi" w:cstheme="majorBidi"/>
                <w:b/>
              </w:rPr>
              <w:t>4 275</w:t>
            </w:r>
          </w:p>
        </w:tc>
        <w:tc>
          <w:tcPr>
            <w:tcW w:w="930" w:type="dxa"/>
            <w:vAlign w:val="center"/>
          </w:tcPr>
          <w:p w:rsidR="00D81178" w:rsidRPr="009C7215" w:rsidRDefault="00D81178" w:rsidP="00321B90">
            <w:pPr>
              <w:jc w:val="center"/>
              <w:rPr>
                <w:rFonts w:asciiTheme="majorBidi" w:hAnsiTheme="majorBidi" w:cstheme="majorBidi"/>
                <w:b/>
              </w:rPr>
            </w:pPr>
            <w:r w:rsidRPr="009C7215">
              <w:rPr>
                <w:rFonts w:asciiTheme="majorBidi" w:hAnsiTheme="majorBidi" w:cstheme="majorBidi"/>
                <w:b/>
              </w:rPr>
              <w:t>89.81</w:t>
            </w:r>
          </w:p>
        </w:tc>
        <w:tc>
          <w:tcPr>
            <w:tcW w:w="1281" w:type="dxa"/>
            <w:vAlign w:val="center"/>
          </w:tcPr>
          <w:p w:rsidR="00D81178" w:rsidRPr="009C7215" w:rsidRDefault="00D81178" w:rsidP="00321B90">
            <w:pPr>
              <w:jc w:val="center"/>
              <w:rPr>
                <w:rFonts w:asciiTheme="majorBidi" w:hAnsiTheme="majorBidi" w:cstheme="majorBidi"/>
                <w:b/>
              </w:rPr>
            </w:pPr>
            <w:r w:rsidRPr="009C7215">
              <w:rPr>
                <w:rFonts w:asciiTheme="majorBidi" w:hAnsiTheme="majorBidi" w:cstheme="majorBidi"/>
                <w:b/>
              </w:rPr>
              <w:t>5 974</w:t>
            </w:r>
          </w:p>
        </w:tc>
      </w:tr>
      <w:tr w:rsidR="009C7215" w:rsidRPr="009C7215" w:rsidTr="007F42DD">
        <w:trPr>
          <w:trHeight w:val="525"/>
        </w:trPr>
        <w:tc>
          <w:tcPr>
            <w:tcW w:w="1349" w:type="dxa"/>
            <w:hideMark/>
          </w:tcPr>
          <w:p w:rsidR="00D81178" w:rsidRPr="009C7215" w:rsidRDefault="00D81178" w:rsidP="00BC57C7">
            <w:pPr>
              <w:rPr>
                <w:rFonts w:asciiTheme="majorBidi" w:hAnsiTheme="majorBidi" w:cstheme="majorBidi"/>
              </w:rPr>
            </w:pPr>
            <w:r w:rsidRPr="009C7215">
              <w:rPr>
                <w:rFonts w:asciiTheme="majorBidi" w:hAnsiTheme="majorBidi" w:cstheme="majorBidi"/>
              </w:rPr>
              <w:t>Traumu profils</w:t>
            </w:r>
          </w:p>
        </w:tc>
        <w:tc>
          <w:tcPr>
            <w:tcW w:w="761"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2 138</w:t>
            </w:r>
          </w:p>
        </w:tc>
        <w:tc>
          <w:tcPr>
            <w:tcW w:w="1027"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5.24</w:t>
            </w:r>
          </w:p>
        </w:tc>
        <w:tc>
          <w:tcPr>
            <w:tcW w:w="877"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14</w:t>
            </w:r>
          </w:p>
        </w:tc>
        <w:tc>
          <w:tcPr>
            <w:tcW w:w="972"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0.65</w:t>
            </w:r>
          </w:p>
        </w:tc>
        <w:tc>
          <w:tcPr>
            <w:tcW w:w="932"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1 819</w:t>
            </w:r>
          </w:p>
        </w:tc>
        <w:tc>
          <w:tcPr>
            <w:tcW w:w="930"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85.08</w:t>
            </w:r>
          </w:p>
        </w:tc>
        <w:tc>
          <w:tcPr>
            <w:tcW w:w="1281"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2 388</w:t>
            </w:r>
          </w:p>
        </w:tc>
      </w:tr>
      <w:tr w:rsidR="009C7215" w:rsidRPr="009C7215" w:rsidTr="007F42DD">
        <w:trPr>
          <w:trHeight w:val="525"/>
        </w:trPr>
        <w:tc>
          <w:tcPr>
            <w:tcW w:w="1349" w:type="dxa"/>
            <w:hideMark/>
          </w:tcPr>
          <w:p w:rsidR="00D81178" w:rsidRPr="009C7215" w:rsidRDefault="00D81178" w:rsidP="00BC57C7">
            <w:pPr>
              <w:rPr>
                <w:rFonts w:asciiTheme="majorBidi" w:hAnsiTheme="majorBidi" w:cstheme="majorBidi"/>
              </w:rPr>
            </w:pPr>
            <w:r w:rsidRPr="009C7215">
              <w:rPr>
                <w:rFonts w:asciiTheme="majorBidi" w:hAnsiTheme="majorBidi" w:cstheme="majorBidi"/>
              </w:rPr>
              <w:t>Ortopēdijas profils</w:t>
            </w:r>
          </w:p>
        </w:tc>
        <w:tc>
          <w:tcPr>
            <w:tcW w:w="761"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2 312</w:t>
            </w:r>
          </w:p>
        </w:tc>
        <w:tc>
          <w:tcPr>
            <w:tcW w:w="1027"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7.28</w:t>
            </w:r>
          </w:p>
        </w:tc>
        <w:tc>
          <w:tcPr>
            <w:tcW w:w="877"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4</w:t>
            </w:r>
          </w:p>
        </w:tc>
        <w:tc>
          <w:tcPr>
            <w:tcW w:w="972"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0.17</w:t>
            </w:r>
          </w:p>
        </w:tc>
        <w:tc>
          <w:tcPr>
            <w:tcW w:w="932"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2 166</w:t>
            </w:r>
          </w:p>
        </w:tc>
        <w:tc>
          <w:tcPr>
            <w:tcW w:w="930"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93.69</w:t>
            </w:r>
          </w:p>
        </w:tc>
        <w:tc>
          <w:tcPr>
            <w:tcW w:w="1281"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2 920</w:t>
            </w:r>
          </w:p>
        </w:tc>
      </w:tr>
      <w:tr w:rsidR="009C7215" w:rsidRPr="009C7215" w:rsidTr="007F42DD">
        <w:trPr>
          <w:trHeight w:val="525"/>
        </w:trPr>
        <w:tc>
          <w:tcPr>
            <w:tcW w:w="1349" w:type="dxa"/>
            <w:hideMark/>
          </w:tcPr>
          <w:p w:rsidR="00D81178" w:rsidRPr="009C7215" w:rsidRDefault="00D81178" w:rsidP="00BC57C7">
            <w:pPr>
              <w:rPr>
                <w:rFonts w:asciiTheme="majorBidi" w:hAnsiTheme="majorBidi" w:cstheme="majorBidi"/>
              </w:rPr>
            </w:pPr>
            <w:r w:rsidRPr="009C7215">
              <w:rPr>
                <w:rFonts w:asciiTheme="majorBidi" w:hAnsiTheme="majorBidi" w:cstheme="majorBidi"/>
              </w:rPr>
              <w:t>Strutainā ķirurģija</w:t>
            </w:r>
          </w:p>
        </w:tc>
        <w:tc>
          <w:tcPr>
            <w:tcW w:w="761" w:type="dxa"/>
            <w:noWrap/>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310</w:t>
            </w:r>
          </w:p>
        </w:tc>
        <w:tc>
          <w:tcPr>
            <w:tcW w:w="1027"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16.51</w:t>
            </w:r>
          </w:p>
        </w:tc>
        <w:tc>
          <w:tcPr>
            <w:tcW w:w="877"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0</w:t>
            </w:r>
          </w:p>
        </w:tc>
        <w:tc>
          <w:tcPr>
            <w:tcW w:w="972"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0.00</w:t>
            </w:r>
          </w:p>
        </w:tc>
        <w:tc>
          <w:tcPr>
            <w:tcW w:w="932"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290</w:t>
            </w:r>
          </w:p>
        </w:tc>
        <w:tc>
          <w:tcPr>
            <w:tcW w:w="930"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93.55</w:t>
            </w:r>
          </w:p>
        </w:tc>
        <w:tc>
          <w:tcPr>
            <w:tcW w:w="1281" w:type="dxa"/>
            <w:vAlign w:val="center"/>
          </w:tcPr>
          <w:p w:rsidR="00D81178" w:rsidRPr="009C7215" w:rsidRDefault="00D81178" w:rsidP="00321B90">
            <w:pPr>
              <w:jc w:val="center"/>
              <w:rPr>
                <w:rFonts w:asciiTheme="majorBidi" w:hAnsiTheme="majorBidi" w:cstheme="majorBidi"/>
              </w:rPr>
            </w:pPr>
            <w:r w:rsidRPr="009C7215">
              <w:rPr>
                <w:rFonts w:asciiTheme="majorBidi" w:hAnsiTheme="majorBidi" w:cstheme="majorBidi"/>
              </w:rPr>
              <w:t>666</w:t>
            </w:r>
          </w:p>
        </w:tc>
      </w:tr>
    </w:tbl>
    <w:p w:rsidR="00B02F65" w:rsidRPr="009C7215" w:rsidRDefault="00B02F65" w:rsidP="00B02F65">
      <w:pPr>
        <w:rPr>
          <w:rFonts w:asciiTheme="majorBidi" w:hAnsiTheme="majorBidi" w:cstheme="majorBidi"/>
        </w:rPr>
        <w:sectPr w:rsidR="00B02F65" w:rsidRPr="009C7215">
          <w:footerReference w:type="default" r:id="rId12"/>
          <w:footerReference w:type="first" r:id="rId13"/>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9C7215" w:rsidRPr="009C7215" w:rsidTr="00E41F0E">
        <w:trPr>
          <w:trHeight w:val="315"/>
        </w:trPr>
        <w:tc>
          <w:tcPr>
            <w:tcW w:w="9920" w:type="dxa"/>
            <w:gridSpan w:val="10"/>
            <w:noWrap/>
            <w:vAlign w:val="bottom"/>
          </w:tcPr>
          <w:p w:rsidR="00B02F65" w:rsidRPr="009C7215" w:rsidRDefault="00B02F65" w:rsidP="0020186F">
            <w:pPr>
              <w:rPr>
                <w:rFonts w:asciiTheme="majorBidi" w:hAnsiTheme="majorBidi" w:cstheme="majorBidi"/>
                <w:b/>
                <w:bCs/>
                <w:u w:val="single"/>
              </w:rPr>
            </w:pPr>
            <w:r w:rsidRPr="009C7215">
              <w:rPr>
                <w:rFonts w:asciiTheme="majorBidi" w:hAnsiTheme="majorBidi" w:cstheme="majorBidi"/>
                <w:b/>
                <w:bCs/>
                <w:u w:val="single"/>
              </w:rPr>
              <w:lastRenderedPageBreak/>
              <w:t xml:space="preserve">Sniegto stacionāro pakalpojumu apjoms </w:t>
            </w:r>
            <w:r w:rsidR="007F42DD" w:rsidRPr="009C7215">
              <w:rPr>
                <w:rFonts w:asciiTheme="majorBidi" w:hAnsiTheme="majorBidi" w:cstheme="majorBidi"/>
                <w:b/>
                <w:u w:val="single"/>
              </w:rPr>
              <w:t>2016</w:t>
            </w:r>
            <w:r w:rsidR="00E12834" w:rsidRPr="009C7215">
              <w:rPr>
                <w:rFonts w:asciiTheme="majorBidi" w:hAnsiTheme="majorBidi" w:cstheme="majorBidi"/>
                <w:b/>
                <w:u w:val="single"/>
              </w:rPr>
              <w:t xml:space="preserve">. gada janvārī - </w:t>
            </w:r>
            <w:r w:rsidR="009749C6" w:rsidRPr="009C7215">
              <w:rPr>
                <w:rFonts w:asciiTheme="majorBidi" w:hAnsiTheme="majorBidi" w:cstheme="majorBidi"/>
                <w:b/>
                <w:u w:val="single"/>
              </w:rPr>
              <w:t>septembrī</w:t>
            </w:r>
            <w:r w:rsidRPr="009C7215">
              <w:rPr>
                <w:rFonts w:asciiTheme="majorBidi" w:hAnsiTheme="majorBidi" w:cstheme="majorBidi"/>
                <w:b/>
                <w:bCs/>
                <w:u w:val="single"/>
              </w:rPr>
              <w:t xml:space="preserve"> sadalījumā: plānveida un neatliekamā palīdzība</w:t>
            </w:r>
          </w:p>
        </w:tc>
        <w:tc>
          <w:tcPr>
            <w:tcW w:w="1300" w:type="dxa"/>
            <w:noWrap/>
            <w:vAlign w:val="bottom"/>
          </w:tcPr>
          <w:p w:rsidR="00B02F65" w:rsidRPr="009C7215" w:rsidRDefault="00B02F65">
            <w:pPr>
              <w:rPr>
                <w:rFonts w:asciiTheme="majorBidi" w:hAnsiTheme="majorBidi" w:cstheme="majorBidi"/>
                <w:b/>
                <w:bCs/>
                <w:u w:val="single"/>
              </w:rPr>
            </w:pPr>
          </w:p>
        </w:tc>
        <w:tc>
          <w:tcPr>
            <w:tcW w:w="1300" w:type="dxa"/>
            <w:noWrap/>
            <w:vAlign w:val="bottom"/>
          </w:tcPr>
          <w:p w:rsidR="00B02F65" w:rsidRPr="009C7215" w:rsidRDefault="00B02F65">
            <w:pPr>
              <w:rPr>
                <w:rFonts w:asciiTheme="majorBidi" w:hAnsiTheme="majorBidi" w:cstheme="majorBidi"/>
                <w:b/>
                <w:bCs/>
                <w:u w:val="single"/>
              </w:rPr>
            </w:pPr>
          </w:p>
        </w:tc>
        <w:tc>
          <w:tcPr>
            <w:tcW w:w="1420" w:type="dxa"/>
            <w:noWrap/>
            <w:vAlign w:val="bottom"/>
          </w:tcPr>
          <w:p w:rsidR="00B02F65" w:rsidRPr="009C7215" w:rsidRDefault="00B02F65">
            <w:pPr>
              <w:rPr>
                <w:rFonts w:asciiTheme="majorBidi" w:hAnsiTheme="majorBidi" w:cstheme="majorBidi"/>
                <w:b/>
                <w:bCs/>
                <w:u w:val="single"/>
              </w:rPr>
            </w:pPr>
          </w:p>
        </w:tc>
      </w:tr>
      <w:tr w:rsidR="009C7215" w:rsidRPr="009C7215" w:rsidTr="00685FEC">
        <w:trPr>
          <w:trHeight w:val="300"/>
        </w:trPr>
        <w:tc>
          <w:tcPr>
            <w:tcW w:w="1400" w:type="dxa"/>
            <w:noWrap/>
            <w:vAlign w:val="bottom"/>
          </w:tcPr>
          <w:p w:rsidR="00B02F65" w:rsidRPr="009C7215" w:rsidRDefault="00B02F65">
            <w:pPr>
              <w:rPr>
                <w:rFonts w:asciiTheme="majorBidi" w:hAnsiTheme="majorBidi" w:cstheme="majorBidi"/>
              </w:rPr>
            </w:pPr>
          </w:p>
        </w:tc>
        <w:tc>
          <w:tcPr>
            <w:tcW w:w="1280" w:type="dxa"/>
            <w:noWrap/>
            <w:vAlign w:val="bottom"/>
          </w:tcPr>
          <w:p w:rsidR="00B02F65" w:rsidRPr="009C7215" w:rsidRDefault="00B02F65">
            <w:pPr>
              <w:rPr>
                <w:rFonts w:asciiTheme="majorBidi" w:hAnsiTheme="majorBidi" w:cstheme="majorBidi"/>
              </w:rPr>
            </w:pPr>
          </w:p>
        </w:tc>
        <w:tc>
          <w:tcPr>
            <w:tcW w:w="1021" w:type="dxa"/>
            <w:gridSpan w:val="2"/>
            <w:noWrap/>
            <w:vAlign w:val="bottom"/>
          </w:tcPr>
          <w:p w:rsidR="00B02F65" w:rsidRPr="009C7215" w:rsidRDefault="00B02F65">
            <w:pPr>
              <w:rPr>
                <w:rFonts w:asciiTheme="majorBidi" w:hAnsiTheme="majorBidi" w:cstheme="majorBidi"/>
              </w:rPr>
            </w:pPr>
          </w:p>
        </w:tc>
        <w:tc>
          <w:tcPr>
            <w:tcW w:w="1419" w:type="dxa"/>
            <w:gridSpan w:val="2"/>
            <w:noWrap/>
            <w:vAlign w:val="bottom"/>
          </w:tcPr>
          <w:p w:rsidR="00B02F65" w:rsidRPr="009C7215" w:rsidRDefault="00B02F65">
            <w:pPr>
              <w:rPr>
                <w:rFonts w:asciiTheme="majorBidi" w:hAnsiTheme="majorBidi" w:cstheme="majorBidi"/>
              </w:rPr>
            </w:pPr>
          </w:p>
        </w:tc>
        <w:tc>
          <w:tcPr>
            <w:tcW w:w="849" w:type="dxa"/>
            <w:noWrap/>
            <w:vAlign w:val="bottom"/>
          </w:tcPr>
          <w:p w:rsidR="00B02F65" w:rsidRPr="009C7215" w:rsidRDefault="00B02F65">
            <w:pPr>
              <w:rPr>
                <w:rFonts w:asciiTheme="majorBidi" w:hAnsiTheme="majorBidi" w:cstheme="majorBidi"/>
              </w:rPr>
            </w:pPr>
          </w:p>
        </w:tc>
        <w:tc>
          <w:tcPr>
            <w:tcW w:w="1551" w:type="dxa"/>
            <w:noWrap/>
            <w:vAlign w:val="bottom"/>
          </w:tcPr>
          <w:p w:rsidR="00B02F65" w:rsidRPr="009C7215" w:rsidRDefault="00B02F65">
            <w:pPr>
              <w:rPr>
                <w:rFonts w:asciiTheme="majorBidi" w:hAnsiTheme="majorBidi" w:cstheme="majorBidi"/>
              </w:rPr>
            </w:pPr>
          </w:p>
        </w:tc>
        <w:tc>
          <w:tcPr>
            <w:tcW w:w="1100" w:type="dxa"/>
            <w:noWrap/>
            <w:vAlign w:val="bottom"/>
          </w:tcPr>
          <w:p w:rsidR="00B02F65" w:rsidRPr="009C7215" w:rsidRDefault="00B02F65">
            <w:pPr>
              <w:rPr>
                <w:rFonts w:asciiTheme="majorBidi" w:hAnsiTheme="majorBidi" w:cstheme="majorBidi"/>
              </w:rPr>
            </w:pPr>
          </w:p>
        </w:tc>
        <w:tc>
          <w:tcPr>
            <w:tcW w:w="1300" w:type="dxa"/>
            <w:noWrap/>
            <w:vAlign w:val="bottom"/>
          </w:tcPr>
          <w:p w:rsidR="00B02F65" w:rsidRPr="009C7215" w:rsidRDefault="00B02F65">
            <w:pPr>
              <w:rPr>
                <w:rFonts w:asciiTheme="majorBidi" w:hAnsiTheme="majorBidi" w:cstheme="majorBidi"/>
              </w:rPr>
            </w:pPr>
          </w:p>
        </w:tc>
        <w:tc>
          <w:tcPr>
            <w:tcW w:w="1300" w:type="dxa"/>
            <w:noWrap/>
            <w:vAlign w:val="bottom"/>
          </w:tcPr>
          <w:p w:rsidR="00B02F65" w:rsidRPr="009C7215" w:rsidRDefault="00B02F65">
            <w:pPr>
              <w:rPr>
                <w:rFonts w:asciiTheme="majorBidi" w:hAnsiTheme="majorBidi" w:cstheme="majorBidi"/>
              </w:rPr>
            </w:pPr>
          </w:p>
        </w:tc>
        <w:tc>
          <w:tcPr>
            <w:tcW w:w="1300" w:type="dxa"/>
            <w:noWrap/>
            <w:vAlign w:val="bottom"/>
          </w:tcPr>
          <w:p w:rsidR="00B02F65" w:rsidRPr="009C7215" w:rsidRDefault="00B02F65">
            <w:pPr>
              <w:rPr>
                <w:rFonts w:asciiTheme="majorBidi" w:hAnsiTheme="majorBidi" w:cstheme="majorBidi"/>
              </w:rPr>
            </w:pPr>
          </w:p>
        </w:tc>
        <w:tc>
          <w:tcPr>
            <w:tcW w:w="1420" w:type="dxa"/>
            <w:noWrap/>
            <w:vAlign w:val="bottom"/>
          </w:tcPr>
          <w:p w:rsidR="00B02F65" w:rsidRPr="009C7215" w:rsidRDefault="00B02F65">
            <w:pPr>
              <w:rPr>
                <w:rFonts w:asciiTheme="majorBidi" w:hAnsiTheme="majorBidi" w:cstheme="majorBidi"/>
              </w:rPr>
            </w:pPr>
          </w:p>
        </w:tc>
      </w:tr>
      <w:tr w:rsidR="009C7215" w:rsidRPr="009C7215" w:rsidTr="00685FEC">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Sniegto pakalpojumu īpatsvars neatliekamajai palīdzībai no kopā sniegtajiem pakalpojumiem</w:t>
            </w:r>
            <w:r w:rsidR="000B47AF" w:rsidRPr="009C7215">
              <w:rPr>
                <w:rFonts w:asciiTheme="majorBidi" w:hAnsiTheme="majorBidi" w:cstheme="majorBidi"/>
              </w:rPr>
              <w:t xml:space="preserve"> %</w:t>
            </w:r>
          </w:p>
        </w:tc>
      </w:tr>
      <w:tr w:rsidR="009C7215" w:rsidRPr="009C7215" w:rsidTr="009C7215">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B02F65" w:rsidRPr="009C7215" w:rsidRDefault="00B02F65">
            <w:pPr>
              <w:rPr>
                <w:rFonts w:asciiTheme="majorBidi" w:hAnsiTheme="majorBidi" w:cstheme="majorBidi"/>
              </w:rPr>
            </w:pPr>
          </w:p>
        </w:tc>
        <w:tc>
          <w:tcPr>
            <w:tcW w:w="1315" w:type="dxa"/>
            <w:gridSpan w:val="2"/>
            <w:tcBorders>
              <w:top w:val="nil"/>
              <w:left w:val="nil"/>
              <w:bottom w:val="single" w:sz="4" w:space="0" w:color="auto"/>
              <w:right w:val="single" w:sz="4" w:space="0" w:color="auto"/>
            </w:tcBorders>
            <w:shd w:val="clear" w:color="auto" w:fill="D9D9D9"/>
            <w:vAlign w:val="center"/>
            <w:hideMark/>
          </w:tcPr>
          <w:p w:rsidR="00B02F65" w:rsidRPr="009C7215" w:rsidRDefault="00B02F65" w:rsidP="00CF3135">
            <w:pPr>
              <w:jc w:val="center"/>
              <w:rPr>
                <w:rFonts w:asciiTheme="majorBidi" w:hAnsiTheme="majorBidi" w:cstheme="majorBidi"/>
              </w:rPr>
            </w:pPr>
            <w:r w:rsidRPr="009C7215">
              <w:rPr>
                <w:rFonts w:asciiTheme="majorBidi" w:hAnsiTheme="majorBidi" w:cstheme="majorBidi"/>
              </w:rPr>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Pacientu skaits</w:t>
            </w:r>
          </w:p>
        </w:tc>
        <w:tc>
          <w:tcPr>
            <w:tcW w:w="1354" w:type="dxa"/>
            <w:tcBorders>
              <w:top w:val="nil"/>
              <w:left w:val="nil"/>
              <w:bottom w:val="single" w:sz="4" w:space="0" w:color="auto"/>
              <w:right w:val="single" w:sz="4" w:space="0" w:color="auto"/>
            </w:tcBorders>
            <w:shd w:val="clear" w:color="auto" w:fill="D9D9D9"/>
            <w:vAlign w:val="center"/>
            <w:hideMark/>
          </w:tcPr>
          <w:p w:rsidR="00B02F65" w:rsidRPr="009C7215" w:rsidRDefault="00B02F65" w:rsidP="00CF3135">
            <w:pPr>
              <w:jc w:val="center"/>
              <w:rPr>
                <w:rFonts w:asciiTheme="majorBidi" w:hAnsiTheme="majorBidi" w:cstheme="majorBidi"/>
              </w:rPr>
            </w:pPr>
            <w:r w:rsidRPr="009C7215">
              <w:rPr>
                <w:rFonts w:asciiTheme="majorBidi" w:hAnsiTheme="majorBidi" w:cstheme="majorBidi"/>
              </w:rPr>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Pacientu skaits</w:t>
            </w:r>
          </w:p>
        </w:tc>
        <w:tc>
          <w:tcPr>
            <w:tcW w:w="1551" w:type="dxa"/>
            <w:tcBorders>
              <w:top w:val="nil"/>
              <w:left w:val="nil"/>
              <w:bottom w:val="single" w:sz="4" w:space="0" w:color="auto"/>
              <w:right w:val="single" w:sz="4" w:space="0" w:color="auto"/>
            </w:tcBorders>
            <w:shd w:val="clear" w:color="auto" w:fill="D9D9D9"/>
            <w:vAlign w:val="center"/>
            <w:hideMark/>
          </w:tcPr>
          <w:p w:rsidR="00B02F65" w:rsidRPr="009C7215" w:rsidRDefault="00B02F65" w:rsidP="00CF3135">
            <w:pPr>
              <w:jc w:val="center"/>
              <w:rPr>
                <w:rFonts w:asciiTheme="majorBidi" w:hAnsiTheme="majorBidi" w:cstheme="majorBidi"/>
              </w:rPr>
            </w:pPr>
            <w:r w:rsidRPr="009C7215">
              <w:rPr>
                <w:rFonts w:asciiTheme="majorBidi" w:hAnsiTheme="majorBidi" w:cstheme="majorBidi"/>
              </w:rPr>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Nauda</w:t>
            </w:r>
          </w:p>
        </w:tc>
        <w:tc>
          <w:tcPr>
            <w:tcW w:w="1300" w:type="dxa"/>
            <w:tcBorders>
              <w:top w:val="nil"/>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Nauda</w:t>
            </w:r>
          </w:p>
        </w:tc>
        <w:tc>
          <w:tcPr>
            <w:tcW w:w="1420" w:type="dxa"/>
            <w:tcBorders>
              <w:top w:val="nil"/>
              <w:left w:val="nil"/>
              <w:bottom w:val="single" w:sz="4" w:space="0" w:color="auto"/>
              <w:right w:val="single" w:sz="4" w:space="0" w:color="auto"/>
            </w:tcBorders>
            <w:shd w:val="clear" w:color="auto" w:fill="D9D9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Pacientu skaits</w:t>
            </w:r>
          </w:p>
        </w:tc>
      </w:tr>
      <w:tr w:rsidR="009C7215" w:rsidRPr="009C7215" w:rsidTr="009C7215">
        <w:trPr>
          <w:trHeight w:val="606"/>
        </w:trPr>
        <w:tc>
          <w:tcPr>
            <w:tcW w:w="1400" w:type="dxa"/>
            <w:tcBorders>
              <w:top w:val="nil"/>
              <w:left w:val="single" w:sz="4" w:space="0" w:color="auto"/>
              <w:bottom w:val="single" w:sz="4" w:space="0" w:color="auto"/>
              <w:right w:val="single" w:sz="4" w:space="0" w:color="auto"/>
            </w:tcBorders>
            <w:noWrap/>
            <w:vAlign w:val="center"/>
            <w:hideMark/>
          </w:tcPr>
          <w:p w:rsidR="009749C6" w:rsidRPr="009C7215" w:rsidRDefault="009749C6" w:rsidP="007F42DD">
            <w:pPr>
              <w:jc w:val="center"/>
              <w:rPr>
                <w:rFonts w:asciiTheme="majorBidi" w:hAnsiTheme="majorBidi" w:cstheme="majorBidi"/>
              </w:rPr>
            </w:pPr>
            <w:r w:rsidRPr="009C7215">
              <w:rPr>
                <w:rFonts w:asciiTheme="majorBidi" w:hAnsiTheme="majorBidi" w:cstheme="majorBidi"/>
              </w:rPr>
              <w:t>2016. gada janvārī - septembrī</w:t>
            </w:r>
          </w:p>
        </w:tc>
        <w:tc>
          <w:tcPr>
            <w:tcW w:w="1315" w:type="dxa"/>
            <w:gridSpan w:val="2"/>
            <w:tcBorders>
              <w:top w:val="nil"/>
              <w:left w:val="nil"/>
              <w:bottom w:val="single" w:sz="4" w:space="0" w:color="auto"/>
              <w:right w:val="single" w:sz="4" w:space="0" w:color="auto"/>
            </w:tcBorders>
            <w:noWrap/>
            <w:vAlign w:val="center"/>
          </w:tcPr>
          <w:p w:rsidR="009749C6" w:rsidRPr="009C7215" w:rsidRDefault="009749C6" w:rsidP="00321B90">
            <w:pPr>
              <w:jc w:val="center"/>
              <w:rPr>
                <w:bCs/>
              </w:rPr>
            </w:pPr>
            <w:r w:rsidRPr="009C7215">
              <w:rPr>
                <w:bCs/>
              </w:rPr>
              <w:t>2 913 320.24</w:t>
            </w:r>
          </w:p>
        </w:tc>
        <w:tc>
          <w:tcPr>
            <w:tcW w:w="986" w:type="dxa"/>
            <w:tcBorders>
              <w:top w:val="nil"/>
              <w:left w:val="nil"/>
              <w:bottom w:val="single" w:sz="4" w:space="0" w:color="auto"/>
              <w:right w:val="single" w:sz="4" w:space="0" w:color="auto"/>
            </w:tcBorders>
            <w:noWrap/>
            <w:vAlign w:val="center"/>
          </w:tcPr>
          <w:p w:rsidR="009749C6" w:rsidRPr="009C7215" w:rsidRDefault="009749C6" w:rsidP="00321B90">
            <w:pPr>
              <w:jc w:val="center"/>
              <w:rPr>
                <w:bCs/>
              </w:rPr>
            </w:pPr>
            <w:r w:rsidRPr="009C7215">
              <w:rPr>
                <w:bCs/>
              </w:rPr>
              <w:t>2 538</w:t>
            </w:r>
          </w:p>
        </w:tc>
        <w:tc>
          <w:tcPr>
            <w:tcW w:w="1354" w:type="dxa"/>
            <w:tcBorders>
              <w:top w:val="nil"/>
              <w:left w:val="nil"/>
              <w:bottom w:val="single" w:sz="4" w:space="0" w:color="auto"/>
              <w:right w:val="single" w:sz="4" w:space="0" w:color="auto"/>
            </w:tcBorders>
            <w:noWrap/>
            <w:vAlign w:val="center"/>
          </w:tcPr>
          <w:p w:rsidR="009749C6" w:rsidRPr="009C7215" w:rsidRDefault="009749C6" w:rsidP="00321B90">
            <w:pPr>
              <w:jc w:val="center"/>
              <w:rPr>
                <w:bCs/>
              </w:rPr>
            </w:pPr>
            <w:r w:rsidRPr="009C7215">
              <w:rPr>
                <w:bCs/>
              </w:rPr>
              <w:t>1 726 623.24</w:t>
            </w:r>
          </w:p>
        </w:tc>
        <w:tc>
          <w:tcPr>
            <w:tcW w:w="914" w:type="dxa"/>
            <w:gridSpan w:val="2"/>
            <w:tcBorders>
              <w:top w:val="nil"/>
              <w:left w:val="nil"/>
              <w:bottom w:val="single" w:sz="4" w:space="0" w:color="auto"/>
              <w:right w:val="single" w:sz="4" w:space="0" w:color="auto"/>
            </w:tcBorders>
            <w:noWrap/>
            <w:vAlign w:val="center"/>
          </w:tcPr>
          <w:p w:rsidR="009749C6" w:rsidRPr="009C7215" w:rsidRDefault="009749C6" w:rsidP="00321B90">
            <w:pPr>
              <w:jc w:val="center"/>
              <w:rPr>
                <w:bCs/>
              </w:rPr>
            </w:pPr>
            <w:r w:rsidRPr="009C7215">
              <w:rPr>
                <w:bCs/>
              </w:rPr>
              <w:t>2222</w:t>
            </w:r>
          </w:p>
        </w:tc>
        <w:tc>
          <w:tcPr>
            <w:tcW w:w="1551" w:type="dxa"/>
            <w:tcBorders>
              <w:top w:val="nil"/>
              <w:left w:val="nil"/>
              <w:bottom w:val="single" w:sz="4" w:space="0" w:color="auto"/>
              <w:right w:val="single" w:sz="4" w:space="0" w:color="auto"/>
            </w:tcBorders>
            <w:noWrap/>
            <w:vAlign w:val="center"/>
          </w:tcPr>
          <w:p w:rsidR="009749C6" w:rsidRPr="009C7215" w:rsidRDefault="009749C6" w:rsidP="00321B90">
            <w:pPr>
              <w:jc w:val="center"/>
              <w:rPr>
                <w:bCs/>
              </w:rPr>
            </w:pPr>
            <w:r w:rsidRPr="009C7215">
              <w:rPr>
                <w:bCs/>
              </w:rPr>
              <w:t>4 639 943.48</w:t>
            </w:r>
          </w:p>
        </w:tc>
        <w:tc>
          <w:tcPr>
            <w:tcW w:w="1100" w:type="dxa"/>
            <w:tcBorders>
              <w:top w:val="nil"/>
              <w:left w:val="nil"/>
              <w:bottom w:val="single" w:sz="4" w:space="0" w:color="auto"/>
              <w:right w:val="single" w:sz="4" w:space="0" w:color="auto"/>
            </w:tcBorders>
            <w:noWrap/>
            <w:vAlign w:val="center"/>
          </w:tcPr>
          <w:p w:rsidR="009749C6" w:rsidRPr="009C7215" w:rsidRDefault="009749C6" w:rsidP="00321B90">
            <w:pPr>
              <w:jc w:val="center"/>
              <w:rPr>
                <w:bCs/>
              </w:rPr>
            </w:pPr>
            <w:r w:rsidRPr="009C7215">
              <w:rPr>
                <w:bCs/>
              </w:rPr>
              <w:t>4 760</w:t>
            </w:r>
          </w:p>
        </w:tc>
        <w:tc>
          <w:tcPr>
            <w:tcW w:w="1300" w:type="dxa"/>
            <w:tcBorders>
              <w:top w:val="nil"/>
              <w:left w:val="nil"/>
              <w:bottom w:val="single" w:sz="4" w:space="0" w:color="auto"/>
              <w:right w:val="single" w:sz="4" w:space="0" w:color="auto"/>
            </w:tcBorders>
            <w:noWrap/>
            <w:vAlign w:val="center"/>
          </w:tcPr>
          <w:p w:rsidR="009749C6" w:rsidRPr="009C7215" w:rsidRDefault="009749C6" w:rsidP="00321B90">
            <w:pPr>
              <w:jc w:val="center"/>
            </w:pPr>
            <w:r w:rsidRPr="009C7215">
              <w:t>62.79</w:t>
            </w:r>
          </w:p>
        </w:tc>
        <w:tc>
          <w:tcPr>
            <w:tcW w:w="1300" w:type="dxa"/>
            <w:tcBorders>
              <w:top w:val="nil"/>
              <w:left w:val="nil"/>
              <w:bottom w:val="single" w:sz="4" w:space="0" w:color="auto"/>
              <w:right w:val="single" w:sz="4" w:space="0" w:color="auto"/>
            </w:tcBorders>
            <w:noWrap/>
            <w:vAlign w:val="center"/>
          </w:tcPr>
          <w:p w:rsidR="009749C6" w:rsidRPr="009C7215" w:rsidRDefault="009749C6" w:rsidP="00321B90">
            <w:pPr>
              <w:jc w:val="center"/>
            </w:pPr>
            <w:r w:rsidRPr="009C7215">
              <w:t>53.32</w:t>
            </w:r>
          </w:p>
        </w:tc>
        <w:tc>
          <w:tcPr>
            <w:tcW w:w="1300" w:type="dxa"/>
            <w:tcBorders>
              <w:top w:val="nil"/>
              <w:left w:val="nil"/>
              <w:bottom w:val="single" w:sz="4" w:space="0" w:color="auto"/>
              <w:right w:val="single" w:sz="4" w:space="0" w:color="auto"/>
            </w:tcBorders>
            <w:noWrap/>
            <w:vAlign w:val="center"/>
          </w:tcPr>
          <w:p w:rsidR="009749C6" w:rsidRPr="009C7215" w:rsidRDefault="009749C6" w:rsidP="00321B90">
            <w:pPr>
              <w:jc w:val="center"/>
            </w:pPr>
            <w:r w:rsidRPr="009C7215">
              <w:t>37.21</w:t>
            </w:r>
          </w:p>
        </w:tc>
        <w:tc>
          <w:tcPr>
            <w:tcW w:w="1420" w:type="dxa"/>
            <w:tcBorders>
              <w:top w:val="nil"/>
              <w:left w:val="nil"/>
              <w:bottom w:val="single" w:sz="4" w:space="0" w:color="auto"/>
              <w:right w:val="single" w:sz="4" w:space="0" w:color="auto"/>
            </w:tcBorders>
            <w:noWrap/>
            <w:vAlign w:val="center"/>
          </w:tcPr>
          <w:p w:rsidR="009749C6" w:rsidRPr="009C7215" w:rsidRDefault="009749C6" w:rsidP="00321B90">
            <w:pPr>
              <w:jc w:val="center"/>
            </w:pPr>
            <w:r w:rsidRPr="009C7215">
              <w:t>46.68</w:t>
            </w:r>
          </w:p>
        </w:tc>
      </w:tr>
    </w:tbl>
    <w:p w:rsidR="00B02F65" w:rsidRPr="009C7215" w:rsidRDefault="00B02F65" w:rsidP="00B02F65">
      <w:pPr>
        <w:jc w:val="right"/>
        <w:rPr>
          <w:rFonts w:asciiTheme="majorBidi" w:hAnsiTheme="majorBidi" w:cstheme="majorBidi"/>
          <w:u w:val="single"/>
        </w:rPr>
      </w:pPr>
    </w:p>
    <w:p w:rsidR="00B02F65" w:rsidRPr="009C7215" w:rsidRDefault="00B02F65" w:rsidP="00B02F65">
      <w:pPr>
        <w:rPr>
          <w:rFonts w:asciiTheme="majorBidi" w:hAnsiTheme="majorBidi" w:cstheme="majorBidi"/>
          <w:u w:val="single"/>
        </w:rPr>
      </w:pPr>
    </w:p>
    <w:p w:rsidR="00B02F65" w:rsidRPr="009C7215" w:rsidRDefault="00D765C1" w:rsidP="00F11E96">
      <w:pPr>
        <w:rPr>
          <w:rFonts w:asciiTheme="majorBidi" w:hAnsiTheme="majorBidi" w:cstheme="majorBidi"/>
          <w:b/>
          <w:bCs/>
          <w:u w:val="single"/>
        </w:rPr>
      </w:pPr>
      <w:r w:rsidRPr="009C7215">
        <w:rPr>
          <w:rFonts w:asciiTheme="majorBidi" w:hAnsiTheme="majorBidi" w:cstheme="majorBidi"/>
          <w:b/>
          <w:bCs/>
          <w:u w:val="single"/>
        </w:rPr>
        <w:t xml:space="preserve">Statistikas rādītāji par gultu fonda izmantošanas vidējiem rādītājiem </w:t>
      </w:r>
      <w:r w:rsidR="007F42DD" w:rsidRPr="009C7215">
        <w:rPr>
          <w:rFonts w:asciiTheme="majorBidi" w:hAnsiTheme="majorBidi" w:cstheme="majorBidi"/>
          <w:b/>
          <w:u w:val="single"/>
        </w:rPr>
        <w:t>2016</w:t>
      </w:r>
      <w:r w:rsidRPr="009C7215">
        <w:rPr>
          <w:rFonts w:asciiTheme="majorBidi" w:hAnsiTheme="majorBidi" w:cstheme="majorBidi"/>
          <w:b/>
          <w:u w:val="single"/>
        </w:rPr>
        <w:t>. gada janvār</w:t>
      </w:r>
      <w:r w:rsidR="00B342FA" w:rsidRPr="009C7215">
        <w:rPr>
          <w:rFonts w:asciiTheme="majorBidi" w:hAnsiTheme="majorBidi" w:cstheme="majorBidi"/>
          <w:b/>
          <w:u w:val="single"/>
        </w:rPr>
        <w:t xml:space="preserve">ī </w:t>
      </w:r>
      <w:r w:rsidRPr="009C7215">
        <w:rPr>
          <w:rFonts w:asciiTheme="majorBidi" w:hAnsiTheme="majorBidi" w:cstheme="majorBidi"/>
          <w:b/>
          <w:u w:val="single"/>
        </w:rPr>
        <w:t>–</w:t>
      </w:r>
      <w:r w:rsidR="007F42DD" w:rsidRPr="009C7215">
        <w:rPr>
          <w:rFonts w:asciiTheme="majorBidi" w:hAnsiTheme="majorBidi" w:cstheme="majorBidi"/>
          <w:b/>
          <w:u w:val="single"/>
        </w:rPr>
        <w:t xml:space="preserve"> </w:t>
      </w:r>
      <w:r w:rsidR="001E17EF" w:rsidRPr="009C7215">
        <w:rPr>
          <w:rFonts w:asciiTheme="majorBidi" w:hAnsiTheme="majorBidi" w:cstheme="majorBidi"/>
          <w:b/>
          <w:u w:val="single"/>
        </w:rPr>
        <w:t>septembrī</w:t>
      </w:r>
    </w:p>
    <w:p w:rsidR="00D765C1" w:rsidRPr="009C7215" w:rsidRDefault="00D765C1" w:rsidP="00E12834">
      <w:pPr>
        <w:rPr>
          <w:rFonts w:asciiTheme="majorBidi" w:hAnsiTheme="majorBidi" w:cstheme="majorBidi"/>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9C7215" w:rsidRPr="009C7215" w:rsidTr="00CE304A">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F81AFC" w:rsidP="001E17EF">
            <w:pPr>
              <w:jc w:val="center"/>
              <w:rPr>
                <w:rFonts w:asciiTheme="majorBidi" w:hAnsiTheme="majorBidi" w:cstheme="majorBidi"/>
              </w:rPr>
            </w:pPr>
            <w:r w:rsidRPr="009C7215">
              <w:rPr>
                <w:rFonts w:asciiTheme="majorBidi" w:hAnsiTheme="majorBidi" w:cstheme="majorBidi"/>
              </w:rPr>
              <w:t xml:space="preserve">2016. gada janvārī - </w:t>
            </w:r>
            <w:r w:rsidR="001E17EF" w:rsidRPr="009C7215">
              <w:rPr>
                <w:rFonts w:asciiTheme="majorBidi" w:hAnsiTheme="majorBidi" w:cstheme="majorBidi"/>
              </w:rPr>
              <w:t>septembrī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Vidējais ārstēšanas ilgums operētajiem</w:t>
            </w:r>
          </w:p>
        </w:tc>
      </w:tr>
      <w:tr w:rsidR="009C7215" w:rsidRPr="009C7215" w:rsidTr="00CE304A">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rPr>
                <w:rFonts w:asciiTheme="majorBidi" w:hAnsiTheme="majorBidi" w:cstheme="majorBidi"/>
              </w:rPr>
            </w:pPr>
          </w:p>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rPr>
                <w:rFonts w:asciiTheme="majorBidi" w:hAnsiTheme="majorBidi" w:cstheme="majorBidi"/>
              </w:rPr>
            </w:pPr>
          </w:p>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rPr>
                <w:rFonts w:asciiTheme="majorBidi" w:hAnsiTheme="majorBidi" w:cstheme="majorBidi"/>
              </w:rPr>
            </w:pP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9C7215" w:rsidRDefault="00B02F65">
            <w:pPr>
              <w:rPr>
                <w:rFonts w:asciiTheme="majorBidi" w:hAnsiTheme="majorBidi" w:cstheme="majorBidi"/>
              </w:rPr>
            </w:pP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9C7215" w:rsidRDefault="00B02F65">
            <w:pPr>
              <w:jc w:val="center"/>
              <w:rPr>
                <w:rFonts w:asciiTheme="majorBidi" w:hAnsiTheme="majorBidi" w:cstheme="majorBidi"/>
              </w:rPr>
            </w:pPr>
            <w:r w:rsidRPr="009C7215">
              <w:rPr>
                <w:rFonts w:asciiTheme="majorBidi" w:hAnsiTheme="majorBidi" w:cstheme="majorBidi"/>
              </w:rPr>
              <w:t>Līdz operācijai</w:t>
            </w:r>
          </w:p>
        </w:tc>
      </w:tr>
      <w:tr w:rsidR="009C7215" w:rsidRPr="009C7215" w:rsidTr="00CE304A">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rsidR="001E17EF" w:rsidRPr="009C7215" w:rsidRDefault="001E17EF">
            <w:pPr>
              <w:rPr>
                <w:rFonts w:asciiTheme="majorBidi" w:hAnsiTheme="majorBidi" w:cstheme="majorBidi"/>
                <w:bCs/>
              </w:rPr>
            </w:pPr>
            <w:r w:rsidRPr="009C7215">
              <w:rPr>
                <w:rFonts w:asciiTheme="majorBidi" w:hAnsiTheme="majorBidi" w:cstheme="majorBidi"/>
                <w:bCs/>
              </w:rPr>
              <w:t>Stacionārā KOPĀ</w:t>
            </w:r>
          </w:p>
        </w:tc>
        <w:tc>
          <w:tcPr>
            <w:tcW w:w="914"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pPr>
            <w:r w:rsidRPr="009C7215">
              <w:t>202</w:t>
            </w:r>
          </w:p>
        </w:tc>
        <w:tc>
          <w:tcPr>
            <w:tcW w:w="999"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rPr>
                <w:bCs/>
              </w:rPr>
            </w:pPr>
            <w:r w:rsidRPr="009C7215">
              <w:rPr>
                <w:bCs/>
              </w:rPr>
              <w:t>4 760</w:t>
            </w:r>
          </w:p>
        </w:tc>
        <w:tc>
          <w:tcPr>
            <w:tcW w:w="998"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rPr>
                <w:bCs/>
              </w:rPr>
            </w:pPr>
            <w:r w:rsidRPr="009C7215">
              <w:rPr>
                <w:bCs/>
              </w:rPr>
              <w:t>164.96</w:t>
            </w:r>
          </w:p>
        </w:tc>
        <w:tc>
          <w:tcPr>
            <w:tcW w:w="998"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rPr>
                <w:bCs/>
              </w:rPr>
            </w:pPr>
            <w:r w:rsidRPr="009C7215">
              <w:rPr>
                <w:bCs/>
              </w:rPr>
              <w:t>60.20</w:t>
            </w:r>
          </w:p>
        </w:tc>
        <w:tc>
          <w:tcPr>
            <w:tcW w:w="1143"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rPr>
                <w:bCs/>
              </w:rPr>
            </w:pPr>
            <w:r w:rsidRPr="009C7215">
              <w:rPr>
                <w:bCs/>
              </w:rPr>
              <w:t>7.00</w:t>
            </w:r>
          </w:p>
        </w:tc>
        <w:tc>
          <w:tcPr>
            <w:tcW w:w="998"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rPr>
                <w:bCs/>
              </w:rPr>
            </w:pPr>
            <w:r w:rsidRPr="009C7215">
              <w:rPr>
                <w:bCs/>
              </w:rPr>
              <w:t>0.38</w:t>
            </w:r>
          </w:p>
        </w:tc>
        <w:tc>
          <w:tcPr>
            <w:tcW w:w="959"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rPr>
                <w:bCs/>
              </w:rPr>
            </w:pPr>
            <w:r w:rsidRPr="009C7215">
              <w:rPr>
                <w:bCs/>
              </w:rPr>
              <w:t>23.56</w:t>
            </w:r>
          </w:p>
        </w:tc>
        <w:tc>
          <w:tcPr>
            <w:tcW w:w="959"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rPr>
                <w:bCs/>
              </w:rPr>
            </w:pPr>
            <w:r w:rsidRPr="009C7215">
              <w:rPr>
                <w:bCs/>
              </w:rPr>
              <w:t>4.63</w:t>
            </w:r>
          </w:p>
        </w:tc>
        <w:tc>
          <w:tcPr>
            <w:tcW w:w="1005"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pPr>
            <w:r w:rsidRPr="009C7215">
              <w:t>5 974</w:t>
            </w:r>
          </w:p>
        </w:tc>
        <w:tc>
          <w:tcPr>
            <w:tcW w:w="959"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pPr>
            <w:r w:rsidRPr="009C7215">
              <w:t>4 275</w:t>
            </w:r>
          </w:p>
        </w:tc>
        <w:tc>
          <w:tcPr>
            <w:tcW w:w="959"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rPr>
                <w:bCs/>
              </w:rPr>
            </w:pPr>
            <w:r w:rsidRPr="009C7215">
              <w:rPr>
                <w:bCs/>
              </w:rPr>
              <w:t>89.81</w:t>
            </w:r>
          </w:p>
        </w:tc>
        <w:tc>
          <w:tcPr>
            <w:tcW w:w="959"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pPr>
            <w:r w:rsidRPr="009C7215">
              <w:t>7.31</w:t>
            </w:r>
          </w:p>
        </w:tc>
        <w:tc>
          <w:tcPr>
            <w:tcW w:w="1005" w:type="dxa"/>
            <w:tcBorders>
              <w:top w:val="nil"/>
              <w:left w:val="nil"/>
              <w:bottom w:val="single" w:sz="4" w:space="0" w:color="auto"/>
              <w:right w:val="single" w:sz="4" w:space="0" w:color="auto"/>
            </w:tcBorders>
            <w:shd w:val="clear" w:color="auto" w:fill="auto"/>
            <w:noWrap/>
            <w:vAlign w:val="center"/>
          </w:tcPr>
          <w:p w:rsidR="001E17EF" w:rsidRPr="009C7215" w:rsidRDefault="001E17EF" w:rsidP="00321B90">
            <w:pPr>
              <w:jc w:val="center"/>
            </w:pPr>
            <w:r w:rsidRPr="009C7215">
              <w:t>1.52</w:t>
            </w:r>
          </w:p>
        </w:tc>
      </w:tr>
    </w:tbl>
    <w:p w:rsidR="00164426" w:rsidRPr="009C7215" w:rsidRDefault="00164426" w:rsidP="00B02F65">
      <w:pPr>
        <w:rPr>
          <w:rFonts w:asciiTheme="majorBidi" w:hAnsiTheme="majorBidi" w:cstheme="majorBidi"/>
        </w:rPr>
        <w:sectPr w:rsidR="00164426" w:rsidRPr="009C7215">
          <w:pgSz w:w="16838" w:h="11906" w:orient="landscape"/>
          <w:pgMar w:top="1418" w:right="748" w:bottom="1797" w:left="1440" w:header="624" w:footer="601" w:gutter="0"/>
          <w:cols w:space="720"/>
        </w:sectPr>
      </w:pPr>
    </w:p>
    <w:p w:rsidR="001823E2" w:rsidRPr="009D6413" w:rsidRDefault="001823E2"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9D6413">
        <w:rPr>
          <w:b/>
          <w:sz w:val="22"/>
          <w:szCs w:val="22"/>
          <w:u w:val="single"/>
        </w:rPr>
        <w:lastRenderedPageBreak/>
        <w:t>2016.gada janvārī - septembrī veiktie  pasākumi Slimnīcas attīstībai un saimnieciskās darbības nodrošināšanai:</w:t>
      </w:r>
    </w:p>
    <w:p w:rsidR="001823E2" w:rsidRPr="00377887" w:rsidRDefault="001823E2" w:rsidP="001823E2">
      <w:pPr>
        <w:spacing w:line="360" w:lineRule="auto"/>
        <w:jc w:val="both"/>
        <w:rPr>
          <w:bCs/>
          <w:sz w:val="22"/>
          <w:szCs w:val="22"/>
        </w:rPr>
      </w:pPr>
    </w:p>
    <w:p w:rsidR="001823E2" w:rsidRPr="00377887" w:rsidRDefault="001823E2" w:rsidP="001823E2">
      <w:pPr>
        <w:spacing w:line="360" w:lineRule="auto"/>
        <w:jc w:val="both"/>
        <w:rPr>
          <w:sz w:val="22"/>
          <w:szCs w:val="22"/>
          <w:lang w:eastAsia="en-US"/>
        </w:rPr>
      </w:pPr>
      <w:r w:rsidRPr="00377887">
        <w:rPr>
          <w:sz w:val="22"/>
          <w:szCs w:val="22"/>
          <w:lang w:eastAsia="en-US"/>
        </w:rPr>
        <w:t>Izvērtējot struktūrvienību iesniegtās vajadzības 2016.gadam, kā arī apzinot pakalpojumu  sniedzēju un piegādātāju līgumus, kuru darbība beidzas 2015.gada beigās vai 2016.gada laikā, 2016.gada 1.ceturksnī tika apstiprināts iepirkumu plāns 2016.gadam un iepirkumu komisija rīkoja iepirkumu procedūras saskaņā ar plānā norādīto.</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Veidojot ciešāku sadarbību ar citām Latvijas veselības aprūpes institūcijām, Slimnīca piedalījās Valsts asinsdonoru centra organizētajā koncertā 2016.gada 30. janvārī.</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Vadoties no nepieciešamības nodrošināt Slimnīcas saimniecisko darbību atbilstoši likumdošanā noteiktajai kārtībai, 2016.gada 1. ceturksnī tika apstiprināts darba aizsardzības pasākumu plāns 2016.gadam.</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Lai nodrošinātu medicīnas iekārtu uzturēšanu atbilstoši likumdošanā noteiktajām prasībām, kā arī ņemot vērā veikto tirgus izpēti, tika nolemts veikt regulārās eklektrodrošības, funkcionālās pārbaudes un monitoru kalibrēšanu.</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Vadoties no nepieciešamības nodrošināt kvalitatīvu pacienu aprūpi operāciju un pēcoperācijas laikā 2016.gada 1. ceturksnī  Slimnīca iepirka 2 pacientu sildītājus operāciju bloka un reanimācijas vajadzībām.</w:t>
      </w:r>
    </w:p>
    <w:p w:rsidR="001823E2" w:rsidRPr="00377887" w:rsidRDefault="001823E2" w:rsidP="001823E2">
      <w:pPr>
        <w:ind w:right="-420"/>
        <w:jc w:val="both"/>
        <w:rPr>
          <w:sz w:val="22"/>
          <w:szCs w:val="22"/>
        </w:rPr>
      </w:pPr>
    </w:p>
    <w:p w:rsidR="001823E2" w:rsidRPr="00377887" w:rsidRDefault="001823E2" w:rsidP="001823E2">
      <w:pPr>
        <w:spacing w:line="360" w:lineRule="auto"/>
        <w:jc w:val="both"/>
        <w:rPr>
          <w:sz w:val="22"/>
          <w:szCs w:val="22"/>
          <w:lang w:eastAsia="en-US"/>
        </w:rPr>
      </w:pPr>
      <w:r w:rsidRPr="00377887">
        <w:rPr>
          <w:sz w:val="22"/>
          <w:szCs w:val="22"/>
          <w:lang w:eastAsia="en-US"/>
        </w:rPr>
        <w:t>Ņemot vērā Nacionālā veselības dienesta savstarpējo vienošanos par finanšu līdzekļu piešķiršanu valsts un pašvaldību ārstniecības iestāžu nodarbināto darba samaksas pieauguma nodrošināšanai 2016.gadā, 2016.gada 1. ceturksnī ir veiktas izmaiņas Slimnīcas nolikumā par personāla darba samaksas noteikšanu, attiecīgi paredzot darba samaksas pieaugumu medicīnas un pārējam personālam vidēji par 8 %.</w:t>
      </w:r>
    </w:p>
    <w:p w:rsidR="001823E2" w:rsidRPr="00377887" w:rsidRDefault="001823E2" w:rsidP="001823E2">
      <w:pPr>
        <w:spacing w:line="360" w:lineRule="auto"/>
        <w:jc w:val="both"/>
        <w:rPr>
          <w:sz w:val="22"/>
          <w:szCs w:val="22"/>
        </w:rPr>
      </w:pPr>
    </w:p>
    <w:p w:rsidR="001823E2" w:rsidRPr="00377887" w:rsidRDefault="001823E2" w:rsidP="001823E2">
      <w:pPr>
        <w:spacing w:line="360" w:lineRule="auto"/>
        <w:jc w:val="both"/>
        <w:rPr>
          <w:sz w:val="22"/>
          <w:szCs w:val="22"/>
          <w:lang w:eastAsia="en-US"/>
        </w:rPr>
      </w:pPr>
      <w:r w:rsidRPr="00377887">
        <w:rPr>
          <w:sz w:val="22"/>
          <w:szCs w:val="22"/>
          <w:lang w:eastAsia="en-US"/>
        </w:rPr>
        <w:t>Lai nodrošinātu stabilu un nepārtrauktu datorsistēmas serveru darbu un neradītu draudus programmatūru informācijas pieejamībai 2016.gada 1.ceturksnī tika iepirkta jauna nepārtrauktās elektroapgādes sistēma “APC Smart – UPS SRT 8000VA RM” saskaņā ar veikto tirgus izpēti.</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Vadoties no nepieciešamības motivēt Slimnīcas personālu par papildus darbu, tika piešķirtas papildus piemaksas Ķirurģisko operāciju nodaļas personālam un Mugurkaula ķirurģijas un lielo locītavu endoprotezēšanas nodaļas vidējam un jaunākajam medicīnas personālam par veikto darbu kolēģu darba nespējas laikā .</w:t>
      </w:r>
    </w:p>
    <w:p w:rsidR="001823E2" w:rsidRPr="00377887" w:rsidRDefault="001823E2" w:rsidP="001823E2">
      <w:pPr>
        <w:spacing w:line="360" w:lineRule="auto"/>
        <w:jc w:val="both"/>
        <w:rPr>
          <w:sz w:val="22"/>
          <w:szCs w:val="22"/>
        </w:rPr>
      </w:pPr>
    </w:p>
    <w:p w:rsidR="001823E2" w:rsidRPr="00377887" w:rsidRDefault="001823E2" w:rsidP="001823E2">
      <w:pPr>
        <w:spacing w:line="360" w:lineRule="auto"/>
        <w:jc w:val="both"/>
        <w:rPr>
          <w:sz w:val="22"/>
          <w:szCs w:val="22"/>
          <w:lang w:eastAsia="en-US"/>
        </w:rPr>
      </w:pPr>
      <w:r w:rsidRPr="00377887">
        <w:rPr>
          <w:sz w:val="22"/>
          <w:szCs w:val="22"/>
          <w:lang w:eastAsia="en-US"/>
        </w:rPr>
        <w:lastRenderedPageBreak/>
        <w:t>2016.gada 1. ceturksnī tika izstrādāts budžeta projekts 2016.gadam.</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 xml:space="preserve">Vadoties no nepieciešamības nodrošināt Slimnīcas ilgtermiņa attīstību, 2016.gada 1. ceturksnī tika apstiprināta VSIA “Traumatoloģjjas un ortopēdijas slimnīca” vidēja termiņa darbības stratēģija 2016. – 2018.gadam. </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Lai nodrošinātu efektīvu Centralizētās sterilizācijas un sterilo materiālu apgādes nodaļas darbu 2016.gada 1.ceturksnī tika atbalstīts priekšlikums veikt  pakošanas galdu rekonstrukciju, tvaika ģeneratora ar mazgāšanas uzgaļiem iegādi un instrumentu konteineru ar sietiem un fiksatoru optiskajiem instrumentiem iegādi.</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2016.gada martā valde iecēla amatā jaunu Rehabilitācijas nodaļas vadītāju.</w:t>
      </w:r>
    </w:p>
    <w:p w:rsidR="001823E2" w:rsidRPr="00377887" w:rsidRDefault="001823E2" w:rsidP="001823E2">
      <w:pPr>
        <w:ind w:right="-420"/>
        <w:jc w:val="both"/>
        <w:rPr>
          <w:sz w:val="22"/>
          <w:szCs w:val="22"/>
        </w:rPr>
      </w:pPr>
    </w:p>
    <w:p w:rsidR="001823E2" w:rsidRPr="00377887" w:rsidRDefault="001823E2" w:rsidP="001823E2">
      <w:pPr>
        <w:spacing w:line="360" w:lineRule="auto"/>
        <w:jc w:val="both"/>
        <w:rPr>
          <w:sz w:val="22"/>
          <w:szCs w:val="22"/>
          <w:lang w:eastAsia="en-US"/>
        </w:rPr>
      </w:pPr>
      <w:r w:rsidRPr="00377887">
        <w:rPr>
          <w:sz w:val="22"/>
          <w:szCs w:val="22"/>
          <w:lang w:eastAsia="en-US"/>
        </w:rPr>
        <w:t>Vadoties no 17.03.2016. savstarpēji noslēgtā līgumā Nr.1-1324-2016-1 ar Nacionālo veselības dienestu par grozījumu 05.02.2016. līgumā Nr.1-1324-2016 par sekundāro ambulatoro veselības aprūpes pakalpojumu sniegšanu un apmaksu noteiktajiem pakalpojumu apjomiem 2016.gadam, tika apstiprināts valsts apmaksājamo sekundāro ambulatoro pakalpojumu apjoms 2016.gadam</w:t>
      </w:r>
      <w:r w:rsidRPr="00377887">
        <w:rPr>
          <w:sz w:val="22"/>
          <w:szCs w:val="22"/>
        </w:rPr>
        <w:t>.</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Ņemot vērā, ka iepriekš plānotie limiti medikamentu izlietojumam operāciju laikā tika regulāri pār</w:t>
      </w:r>
      <w:r w:rsidR="00E84B96">
        <w:rPr>
          <w:sz w:val="22"/>
          <w:szCs w:val="22"/>
          <w:lang w:eastAsia="en-US"/>
        </w:rPr>
        <w:t>s</w:t>
      </w:r>
      <w:r w:rsidRPr="00377887">
        <w:rPr>
          <w:sz w:val="22"/>
          <w:szCs w:val="22"/>
          <w:lang w:eastAsia="en-US"/>
        </w:rPr>
        <w:t>niegti visa  2015.gada garumā, kā arī izvērtējot  Zāļu komitejas sēdes ieteikumu šos limitus palielināt, tika veiktas izmaiņas  operāciju zālēm plānoto naudas līdzekļu limitiem Ķirurģisko operāciju nodaļai, pielīdzinot tos reālajiem rādītājiem.</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Optimizējot Slimnīcas personāla darba efektivitāti, valde nolēma atvērt Traumatoloģijas centrā  (5.nodaļā) vienu māsas palīga slodzi.</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Optimizējot Slimnīcas personāla darba efektivitāti, 2016. gada 2. ceturksnī Mugurkaula un locītavu ķirurģijas centrā  (3.nodaļā) tika atvērta viena papildus sanitāra slodze.</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Vadoties no nepieciešamības nodrošināt kvalitatīvu pacienu aprūpi Rehabilitācijas nodaļā, tika nopirkta BIO Compression Crio iekārta pacientu vajadzībām.</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Vadoties no nepieciešamības palielināt budžeta ieņēmumus par sniegtajiem maksas ambulatorajiem un stacionārajiem pakalpojumiem, attiecīgi samazinot piemaksas ārstiem traumatologiem, ortopēdiem par sniegtajiem maksas ambulatorajiem un stacionārajiem pakalpojumiem, 2016. gada 2. ceturksnī tika apstiprinātas  izmaiņas nolikumā par personāla darba samaksas noteikšanu.</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lastRenderedPageBreak/>
        <w:t>Sakarā ar to, ka ir uzsākta klīniskās pētniecības attīstība Slimnīcā, valde nolēma iecelt pētniecības un endoprotēžu reģistra vadītāju S.Zadorožniju par atbildīgo personu par audu centra darbību klīniskajā pētniecībā.</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Vadoties no nepieciešamības motivēt Slimnīcas personālu, tika veikta vidējā un jaunākā medicīnas personāla prēmēšana Starptautiskajā māsu dienā.</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Tā kā Slimnīcas stratēģiskajos mērķos ir plānots attīstīt jaunas ķirurģiskās ārstēšanas metodes ar mikroķirurģisko tehnoloģiju elementiem un plānoto sagatavošanās pasākumu kopumā neatņemama sastāvdaļa ir medicīnas personāla apmācība, Traumatoloģijas centra (4.nodaļas) vadītājs M.Malzubris ir izveidojis ārstu grupu, kuri tuvākā nākotnē spētu nodrošināt šo pakalpojumu. Šī mērķa īstenošanai no š.g. 18. – 20. aprīlim tika noorganizētas apmācības Vīnē un augstākminētajai ārstu grupai tika apmaksāta dalība šajos kursos.</w:t>
      </w:r>
    </w:p>
    <w:p w:rsidR="001823E2" w:rsidRPr="00377887" w:rsidRDefault="001823E2" w:rsidP="001823E2">
      <w:pPr>
        <w:spacing w:line="360" w:lineRule="auto"/>
        <w:jc w:val="both"/>
        <w:rPr>
          <w:sz w:val="22"/>
          <w:szCs w:val="22"/>
          <w:lang w:eastAsia="en-US"/>
        </w:rPr>
      </w:pPr>
    </w:p>
    <w:p w:rsidR="001823E2" w:rsidRPr="00377887" w:rsidRDefault="001823E2" w:rsidP="001823E2">
      <w:pPr>
        <w:spacing w:line="360" w:lineRule="auto"/>
        <w:jc w:val="both"/>
        <w:rPr>
          <w:sz w:val="22"/>
          <w:szCs w:val="22"/>
          <w:lang w:eastAsia="en-US"/>
        </w:rPr>
      </w:pPr>
      <w:r w:rsidRPr="00377887">
        <w:rPr>
          <w:sz w:val="22"/>
          <w:szCs w:val="22"/>
          <w:lang w:eastAsia="en-US"/>
        </w:rPr>
        <w:t xml:space="preserve">Lai atbalstītu Slimnīcas rezidentu pašizglītību un saskaņā ar VSIA “Traumatoloģijas un ortopēdijas slimnīca”  12.04.2016. rīkojuma Nr.01-6/52 “Par līdzekļu izlietojumu rezidentu apmācībai” 1.pielikuma 2.5. punktā noteikto, 2016.gadā šī mērķa īstenošanai ir  novirzīts finansējums EUR 250 apmērā (vienam rezidentam).    </w:t>
      </w:r>
    </w:p>
    <w:p w:rsidR="001823E2" w:rsidRPr="00377887" w:rsidRDefault="001823E2" w:rsidP="001823E2">
      <w:pPr>
        <w:spacing w:line="360" w:lineRule="auto"/>
        <w:jc w:val="both"/>
        <w:rPr>
          <w:sz w:val="22"/>
          <w:szCs w:val="22"/>
          <w:lang w:eastAsia="en-US"/>
        </w:rPr>
      </w:pPr>
    </w:p>
    <w:p w:rsidR="002A16A2" w:rsidRPr="00377887" w:rsidRDefault="002A16A2" w:rsidP="002A16A2">
      <w:pPr>
        <w:spacing w:line="360" w:lineRule="auto"/>
        <w:jc w:val="both"/>
        <w:rPr>
          <w:sz w:val="22"/>
          <w:szCs w:val="22"/>
          <w:lang w:eastAsia="en-US"/>
        </w:rPr>
      </w:pPr>
      <w:r w:rsidRPr="00377887">
        <w:rPr>
          <w:sz w:val="22"/>
          <w:szCs w:val="22"/>
          <w:lang w:eastAsia="en-US"/>
        </w:rPr>
        <w:t xml:space="preserve">Lai saņemtu  Zāļu valsts aģentūras vērtējumu  par atbilstību LR Ministru kabineta noteikumiem Nr.1176 “Cilvēka audu un šūnu izmantošanas kārtība” un sekojošu atļauju veikt audu un šūnu darbības: autologai izmantošanai paredzētu locītavu veidojošo kaulaudu un skrimšļaudu ziedošana, ieguve, laboratoriskā izmeklēšana, 2016.gada sākumā galvenajai māsai I.Nepartei tika uzdots darba uzdevums izstrādāt dokumentu paketi, kuru nepieciešams iesniegt Zāļu valsts aģentūrā atļaujas saņemšanai. </w:t>
      </w:r>
    </w:p>
    <w:p w:rsidR="002A16A2" w:rsidRPr="00377887" w:rsidRDefault="002A16A2" w:rsidP="002A16A2">
      <w:pPr>
        <w:spacing w:line="360" w:lineRule="auto"/>
        <w:jc w:val="both"/>
        <w:rPr>
          <w:sz w:val="22"/>
          <w:szCs w:val="22"/>
          <w:lang w:eastAsia="en-US"/>
        </w:rPr>
      </w:pPr>
      <w:r w:rsidRPr="00377887">
        <w:rPr>
          <w:sz w:val="22"/>
          <w:szCs w:val="22"/>
          <w:lang w:eastAsia="en-US"/>
        </w:rPr>
        <w:t>Darba procesā ir veikta LR normatīvo dokumentu (Likumi un Ministru kabineta noteikumi), Slimnīcas iekšējo dokumentu  analīze, attiecīgās nozares pētījumu dokumentu analīze, klīniskās pētniecības un labās prakses vadlīniju analīze. Kopā analizēti  simts trīsdesmit četri dokumenti un izveidotas deviņpadsmit jaunas Slimnīcas (pētījuma centra) Standartprocedūras:</w:t>
      </w:r>
    </w:p>
    <w:p w:rsidR="002A16A2" w:rsidRPr="00377887" w:rsidRDefault="002A16A2" w:rsidP="002A16A2">
      <w:pPr>
        <w:spacing w:line="360" w:lineRule="auto"/>
        <w:jc w:val="both"/>
        <w:rPr>
          <w:sz w:val="22"/>
          <w:szCs w:val="22"/>
          <w:lang w:eastAsia="en-US"/>
        </w:rPr>
      </w:pPr>
      <w:r w:rsidRPr="00377887">
        <w:rPr>
          <w:sz w:val="22"/>
          <w:szCs w:val="22"/>
          <w:lang w:eastAsia="en-US"/>
        </w:rPr>
        <w:t>1.       TOS Pētniecība DA-1 “SLIMNĪCAS DALĪBAS KLĪNISKAJĀ PĒTĪJUMĀ DARBĪBAS  APRAKSTS”</w:t>
      </w:r>
    </w:p>
    <w:p w:rsidR="002A16A2" w:rsidRPr="00377887" w:rsidRDefault="002A16A2" w:rsidP="002A16A2">
      <w:pPr>
        <w:spacing w:line="360" w:lineRule="auto"/>
        <w:jc w:val="both"/>
        <w:rPr>
          <w:sz w:val="22"/>
          <w:szCs w:val="22"/>
          <w:lang w:eastAsia="en-US"/>
        </w:rPr>
      </w:pPr>
      <w:r w:rsidRPr="00377887">
        <w:rPr>
          <w:sz w:val="22"/>
          <w:szCs w:val="22"/>
          <w:lang w:eastAsia="en-US"/>
        </w:rPr>
        <w:t>2.       TOS Pētniecība STP-2 “KN PĒTĪJUMU STANDARTPROCEDŪRU SARAKTS”</w:t>
      </w:r>
    </w:p>
    <w:p w:rsidR="002A16A2" w:rsidRPr="00377887" w:rsidRDefault="002A16A2" w:rsidP="002A16A2">
      <w:pPr>
        <w:spacing w:line="360" w:lineRule="auto"/>
        <w:jc w:val="both"/>
        <w:rPr>
          <w:sz w:val="22"/>
          <w:szCs w:val="22"/>
          <w:lang w:eastAsia="en-US"/>
        </w:rPr>
      </w:pPr>
      <w:r w:rsidRPr="00377887">
        <w:rPr>
          <w:sz w:val="22"/>
          <w:szCs w:val="22"/>
          <w:lang w:eastAsia="en-US"/>
        </w:rPr>
        <w:t>3.       TOS Pētniecība PA-3 “PACIENTA ATLASE UN VĒRTĒŠANAS KRITĒRIJI”</w:t>
      </w:r>
    </w:p>
    <w:p w:rsidR="002A16A2" w:rsidRPr="00377887" w:rsidRDefault="002A16A2" w:rsidP="002A16A2">
      <w:pPr>
        <w:spacing w:line="360" w:lineRule="auto"/>
        <w:jc w:val="both"/>
        <w:rPr>
          <w:sz w:val="22"/>
          <w:szCs w:val="22"/>
          <w:lang w:eastAsia="en-US"/>
        </w:rPr>
      </w:pPr>
      <w:r w:rsidRPr="00377887">
        <w:rPr>
          <w:sz w:val="22"/>
          <w:szCs w:val="22"/>
          <w:lang w:eastAsia="en-US"/>
        </w:rPr>
        <w:t>4.       TOS Pētniecība PAI-4  “PACIETNA INFORMĒŠANA”</w:t>
      </w:r>
    </w:p>
    <w:p w:rsidR="002A16A2" w:rsidRPr="00377887" w:rsidRDefault="002A16A2" w:rsidP="002A16A2">
      <w:pPr>
        <w:spacing w:line="360" w:lineRule="auto"/>
        <w:jc w:val="both"/>
        <w:rPr>
          <w:sz w:val="22"/>
          <w:szCs w:val="22"/>
          <w:lang w:eastAsia="en-US"/>
        </w:rPr>
      </w:pPr>
      <w:r w:rsidRPr="00377887">
        <w:rPr>
          <w:sz w:val="22"/>
          <w:szCs w:val="22"/>
          <w:lang w:eastAsia="en-US"/>
        </w:rPr>
        <w:t>5.       TOS Pētniecība PP-5 “ PACIENTA PIEKRIŠANA DALĪBAI PĒTĪJUMĀ”</w:t>
      </w:r>
    </w:p>
    <w:p w:rsidR="002A16A2" w:rsidRPr="00377887" w:rsidRDefault="002A16A2" w:rsidP="002A16A2">
      <w:pPr>
        <w:spacing w:line="360" w:lineRule="auto"/>
        <w:jc w:val="both"/>
        <w:rPr>
          <w:sz w:val="22"/>
          <w:szCs w:val="22"/>
          <w:lang w:eastAsia="en-US"/>
        </w:rPr>
      </w:pPr>
      <w:r w:rsidRPr="00377887">
        <w:rPr>
          <w:sz w:val="22"/>
          <w:szCs w:val="22"/>
          <w:lang w:eastAsia="en-US"/>
        </w:rPr>
        <w:t>6.       TOS Pētniecība PL-6  “PACIENTA MEDICĪNISKĀS DOKUMENTĀCIJAS LIETVEDĪBA UN DATU DROŠĪBA”</w:t>
      </w:r>
    </w:p>
    <w:p w:rsidR="002A16A2" w:rsidRPr="00377887" w:rsidRDefault="002A16A2" w:rsidP="002A16A2">
      <w:pPr>
        <w:spacing w:line="360" w:lineRule="auto"/>
        <w:jc w:val="both"/>
        <w:rPr>
          <w:sz w:val="22"/>
          <w:szCs w:val="22"/>
          <w:lang w:eastAsia="en-US"/>
        </w:rPr>
      </w:pPr>
      <w:r w:rsidRPr="00377887">
        <w:rPr>
          <w:sz w:val="22"/>
          <w:szCs w:val="22"/>
          <w:lang w:eastAsia="en-US"/>
        </w:rPr>
        <w:t>7.       TOS Pētniecība AC-7 “ARTROSKOPIJAS METODE”</w:t>
      </w:r>
    </w:p>
    <w:p w:rsidR="002A16A2" w:rsidRPr="00377887" w:rsidRDefault="002A16A2" w:rsidP="002A16A2">
      <w:pPr>
        <w:spacing w:line="360" w:lineRule="auto"/>
        <w:jc w:val="both"/>
        <w:rPr>
          <w:sz w:val="22"/>
          <w:szCs w:val="22"/>
          <w:lang w:eastAsia="en-US"/>
        </w:rPr>
      </w:pPr>
      <w:r w:rsidRPr="00377887">
        <w:rPr>
          <w:sz w:val="22"/>
          <w:szCs w:val="22"/>
          <w:lang w:eastAsia="en-US"/>
        </w:rPr>
        <w:lastRenderedPageBreak/>
        <w:t>8.       TOS Pētniecība PMDAC-8 “PACIENTA MEDICĪNISKĀ DOKUMENTĀCIJA ķirurģiskai AC”</w:t>
      </w:r>
    </w:p>
    <w:p w:rsidR="002A16A2" w:rsidRPr="00377887" w:rsidRDefault="002A16A2" w:rsidP="002A16A2">
      <w:pPr>
        <w:spacing w:line="360" w:lineRule="auto"/>
        <w:jc w:val="both"/>
        <w:rPr>
          <w:sz w:val="22"/>
          <w:szCs w:val="22"/>
          <w:lang w:eastAsia="en-US"/>
        </w:rPr>
      </w:pPr>
      <w:r w:rsidRPr="00377887">
        <w:rPr>
          <w:sz w:val="22"/>
          <w:szCs w:val="22"/>
          <w:lang w:eastAsia="en-US"/>
        </w:rPr>
        <w:t>9.       TOS Pētniecība MIAC-9  “MEDICĪNAS IERĪCES ķirurģiskai AC”</w:t>
      </w:r>
    </w:p>
    <w:p w:rsidR="002A16A2" w:rsidRPr="00377887" w:rsidRDefault="002A16A2" w:rsidP="002A16A2">
      <w:pPr>
        <w:spacing w:line="360" w:lineRule="auto"/>
        <w:jc w:val="both"/>
        <w:rPr>
          <w:sz w:val="22"/>
          <w:szCs w:val="22"/>
          <w:lang w:eastAsia="en-US"/>
        </w:rPr>
      </w:pPr>
      <w:r w:rsidRPr="00377887">
        <w:rPr>
          <w:sz w:val="22"/>
          <w:szCs w:val="22"/>
          <w:lang w:eastAsia="en-US"/>
        </w:rPr>
        <w:t>10.   TOS Pētniecība OPMP-10 “OPERĀCIJU ZĀLES EPIDEMIOLOĢISKĀS DROŠĪBAS UN SANITĀRĀS HIGIĒNAS MONITORINGS”</w:t>
      </w:r>
    </w:p>
    <w:p w:rsidR="002A16A2" w:rsidRPr="00377887" w:rsidRDefault="002A16A2" w:rsidP="002A16A2">
      <w:pPr>
        <w:spacing w:line="360" w:lineRule="auto"/>
        <w:jc w:val="both"/>
        <w:rPr>
          <w:sz w:val="22"/>
          <w:szCs w:val="22"/>
          <w:lang w:eastAsia="en-US"/>
        </w:rPr>
      </w:pPr>
      <w:r w:rsidRPr="00377887">
        <w:rPr>
          <w:sz w:val="22"/>
          <w:szCs w:val="22"/>
          <w:lang w:eastAsia="en-US"/>
        </w:rPr>
        <w:t>11.   TOS Pētniecība AIP-11 “LOCĪTAVU VEIDOJOŠO AUDU IEGŪŠANAS PROCEDŪRA”</w:t>
      </w:r>
    </w:p>
    <w:p w:rsidR="002A16A2" w:rsidRPr="00377887" w:rsidRDefault="002A16A2" w:rsidP="002A16A2">
      <w:pPr>
        <w:spacing w:line="360" w:lineRule="auto"/>
        <w:jc w:val="both"/>
        <w:rPr>
          <w:sz w:val="22"/>
          <w:szCs w:val="22"/>
          <w:lang w:eastAsia="en-US"/>
        </w:rPr>
      </w:pPr>
      <w:r w:rsidRPr="00377887">
        <w:rPr>
          <w:sz w:val="22"/>
          <w:szCs w:val="22"/>
          <w:lang w:eastAsia="en-US"/>
        </w:rPr>
        <w:t>12.   TOS Pētniecība AIP-11  1.Pielikums “AUDU PAŅEMŠANAS PROTOKOLS”</w:t>
      </w:r>
    </w:p>
    <w:p w:rsidR="002A16A2" w:rsidRPr="00377887" w:rsidRDefault="002A16A2" w:rsidP="002A16A2">
      <w:pPr>
        <w:spacing w:line="360" w:lineRule="auto"/>
        <w:jc w:val="both"/>
        <w:rPr>
          <w:sz w:val="22"/>
          <w:szCs w:val="22"/>
          <w:lang w:eastAsia="en-US"/>
        </w:rPr>
      </w:pPr>
      <w:r w:rsidRPr="00377887">
        <w:rPr>
          <w:sz w:val="22"/>
          <w:szCs w:val="22"/>
          <w:lang w:eastAsia="en-US"/>
        </w:rPr>
        <w:t xml:space="preserve">13.   TOS Pētniecība AU-12 AUDU ĪSLAICĪGA UZGLABĀŠANA  - “Kārtība, kā klīniskajā pētījumā iesaistītām ārstniecības personām ir jāveic darbības audu īslaicīgā uzglabāšanā pēc  audu iegūšanas” </w:t>
      </w:r>
    </w:p>
    <w:p w:rsidR="002A16A2" w:rsidRPr="00377887" w:rsidRDefault="002A16A2" w:rsidP="002A16A2">
      <w:pPr>
        <w:spacing w:line="360" w:lineRule="auto"/>
        <w:jc w:val="both"/>
        <w:rPr>
          <w:sz w:val="22"/>
          <w:szCs w:val="22"/>
          <w:lang w:eastAsia="en-US"/>
        </w:rPr>
      </w:pPr>
      <w:r w:rsidRPr="00377887">
        <w:rPr>
          <w:sz w:val="22"/>
          <w:szCs w:val="22"/>
          <w:lang w:eastAsia="en-US"/>
        </w:rPr>
        <w:t>14.   TOS Pētniecība AUS-13 “AUDU MATERIĀLA IZSEKOJAMĪBA”</w:t>
      </w:r>
    </w:p>
    <w:p w:rsidR="002A16A2" w:rsidRPr="00377887" w:rsidRDefault="002A16A2" w:rsidP="002A16A2">
      <w:pPr>
        <w:spacing w:line="360" w:lineRule="auto"/>
        <w:jc w:val="both"/>
        <w:rPr>
          <w:sz w:val="22"/>
          <w:szCs w:val="22"/>
          <w:lang w:eastAsia="en-US"/>
        </w:rPr>
      </w:pPr>
      <w:r w:rsidRPr="00377887">
        <w:rPr>
          <w:sz w:val="22"/>
          <w:szCs w:val="22"/>
          <w:lang w:eastAsia="en-US"/>
        </w:rPr>
        <w:t>15.   TOS Pētniecība NN-14 “ZIŅOŠANAS KĀRTĪBA PAR NEVĒLAMIEM NOTIKUMIEM”</w:t>
      </w:r>
    </w:p>
    <w:p w:rsidR="002A16A2" w:rsidRPr="00377887" w:rsidRDefault="002A16A2" w:rsidP="002A16A2">
      <w:pPr>
        <w:spacing w:line="360" w:lineRule="auto"/>
        <w:jc w:val="both"/>
        <w:rPr>
          <w:sz w:val="22"/>
          <w:szCs w:val="22"/>
          <w:lang w:eastAsia="en-US"/>
        </w:rPr>
      </w:pPr>
      <w:r w:rsidRPr="00377887">
        <w:rPr>
          <w:sz w:val="22"/>
          <w:szCs w:val="22"/>
          <w:lang w:eastAsia="en-US"/>
        </w:rPr>
        <w:t>16.   TOS Pētniecība NN-14   1.Pielikums “ZIŅOJUMS PAR NOPIETNU NEVĒLAMU NOTIKUMU”</w:t>
      </w:r>
    </w:p>
    <w:p w:rsidR="002A16A2" w:rsidRPr="00377887" w:rsidRDefault="002A16A2" w:rsidP="002A16A2">
      <w:pPr>
        <w:spacing w:line="360" w:lineRule="auto"/>
        <w:jc w:val="both"/>
        <w:rPr>
          <w:sz w:val="22"/>
          <w:szCs w:val="22"/>
          <w:lang w:eastAsia="en-US"/>
        </w:rPr>
      </w:pPr>
      <w:r w:rsidRPr="00377887">
        <w:rPr>
          <w:sz w:val="22"/>
          <w:szCs w:val="22"/>
          <w:lang w:eastAsia="en-US"/>
        </w:rPr>
        <w:t>17.   TOS Pētniecība NN-14   2.Pielikums “NOPIETNAS NEVĒLAMAS BLAKNES IZMANTOŠANAS SLĒDZIENS”</w:t>
      </w:r>
    </w:p>
    <w:p w:rsidR="002A16A2" w:rsidRPr="00377887" w:rsidRDefault="002A16A2" w:rsidP="002A16A2">
      <w:pPr>
        <w:spacing w:line="360" w:lineRule="auto"/>
        <w:jc w:val="both"/>
        <w:rPr>
          <w:sz w:val="22"/>
          <w:szCs w:val="22"/>
          <w:lang w:eastAsia="en-US"/>
        </w:rPr>
      </w:pPr>
      <w:r w:rsidRPr="00377887">
        <w:rPr>
          <w:sz w:val="22"/>
          <w:szCs w:val="22"/>
          <w:lang w:eastAsia="en-US"/>
        </w:rPr>
        <w:t xml:space="preserve">18.   TOS Pētniecība RV-15 “LOCĪTAVU AUDU VEIDOJOŠĀ MATERIĀLA IEGŪŠANAS, ĪSLAICĪGĀS UZGLBĀŠANAS UN NODOŠANAS PROCESA RISKU VADĪBA” </w:t>
      </w:r>
    </w:p>
    <w:p w:rsidR="002A16A2" w:rsidRPr="00377887" w:rsidRDefault="002A16A2" w:rsidP="002A16A2">
      <w:pPr>
        <w:spacing w:line="360" w:lineRule="auto"/>
        <w:jc w:val="both"/>
        <w:rPr>
          <w:sz w:val="22"/>
          <w:szCs w:val="22"/>
          <w:lang w:eastAsia="en-US"/>
        </w:rPr>
      </w:pPr>
      <w:r w:rsidRPr="00377887">
        <w:rPr>
          <w:sz w:val="22"/>
          <w:szCs w:val="22"/>
          <w:lang w:eastAsia="en-US"/>
        </w:rPr>
        <w:t>19.   TOS Pētniecība MIRV-16 “IEKĀRTU UN MEDICĪNAS IERĪČU (aparatūras) VADĪBA”</w:t>
      </w:r>
    </w:p>
    <w:p w:rsidR="001823E2" w:rsidRDefault="002A16A2" w:rsidP="002A16A2">
      <w:pPr>
        <w:spacing w:line="360" w:lineRule="auto"/>
        <w:jc w:val="both"/>
        <w:rPr>
          <w:sz w:val="22"/>
          <w:szCs w:val="22"/>
          <w:lang w:eastAsia="en-US"/>
        </w:rPr>
      </w:pPr>
      <w:r w:rsidRPr="00377887">
        <w:rPr>
          <w:sz w:val="22"/>
          <w:szCs w:val="22"/>
          <w:lang w:eastAsia="en-US"/>
        </w:rPr>
        <w:t xml:space="preserve">27.05.2016. ir saņemta Zāļu valsts aģentūras izsniegtā Audu un šūnu izmantošanas atļauja Nr.AC-12. </w:t>
      </w:r>
    </w:p>
    <w:p w:rsidR="002A16A2" w:rsidRPr="009D6413" w:rsidRDefault="002A16A2" w:rsidP="002A16A2">
      <w:pPr>
        <w:spacing w:line="360" w:lineRule="auto"/>
        <w:jc w:val="both"/>
        <w:rPr>
          <w:sz w:val="22"/>
          <w:szCs w:val="22"/>
          <w:lang w:eastAsia="en-US"/>
        </w:rPr>
      </w:pPr>
    </w:p>
    <w:p w:rsidR="001823E2" w:rsidRPr="009D6413" w:rsidRDefault="001823E2" w:rsidP="001823E2">
      <w:pPr>
        <w:spacing w:line="360" w:lineRule="auto"/>
        <w:jc w:val="both"/>
        <w:rPr>
          <w:sz w:val="22"/>
          <w:szCs w:val="22"/>
          <w:lang w:eastAsia="en-US"/>
        </w:rPr>
      </w:pPr>
      <w:r w:rsidRPr="009D6413">
        <w:rPr>
          <w:sz w:val="22"/>
          <w:szCs w:val="22"/>
          <w:lang w:eastAsia="en-US"/>
        </w:rPr>
        <w:t>Vadoties no nepieciešamības precizēt iepirkumus 2016.gadam, 2016. gada 2. ceturksnī tika apstiprināts precizētais iepirkumu plāns 2016.gadam.</w:t>
      </w:r>
    </w:p>
    <w:p w:rsidR="001823E2" w:rsidRPr="009D6413" w:rsidRDefault="001823E2" w:rsidP="001823E2">
      <w:pPr>
        <w:spacing w:line="360" w:lineRule="auto"/>
        <w:jc w:val="both"/>
        <w:rPr>
          <w:sz w:val="22"/>
          <w:szCs w:val="22"/>
          <w:lang w:eastAsia="en-US"/>
        </w:rPr>
      </w:pPr>
    </w:p>
    <w:p w:rsidR="001823E2" w:rsidRPr="009D6413" w:rsidRDefault="001823E2" w:rsidP="001823E2">
      <w:pPr>
        <w:spacing w:line="360" w:lineRule="auto"/>
        <w:jc w:val="both"/>
        <w:rPr>
          <w:sz w:val="22"/>
          <w:szCs w:val="22"/>
          <w:lang w:eastAsia="en-US"/>
        </w:rPr>
      </w:pPr>
      <w:r w:rsidRPr="009D6413">
        <w:rPr>
          <w:sz w:val="22"/>
          <w:szCs w:val="22"/>
          <w:lang w:eastAsia="en-US"/>
        </w:rPr>
        <w:t>Vadoties no nepieciešamības nodrošināt tīrības uzturēšanu Slimnīcas struktūrvienībās, tika noslēgts līgums par logu mazgāšanas pakalpojumiem.</w:t>
      </w:r>
    </w:p>
    <w:p w:rsidR="001823E2" w:rsidRPr="009D6413" w:rsidRDefault="001823E2" w:rsidP="001823E2">
      <w:pPr>
        <w:spacing w:line="360" w:lineRule="auto"/>
        <w:jc w:val="both"/>
        <w:rPr>
          <w:sz w:val="22"/>
          <w:szCs w:val="22"/>
          <w:lang w:eastAsia="en-US"/>
        </w:rPr>
      </w:pPr>
    </w:p>
    <w:p w:rsidR="001823E2" w:rsidRPr="007E29A9" w:rsidRDefault="001823E2" w:rsidP="001823E2">
      <w:pPr>
        <w:spacing w:line="360" w:lineRule="auto"/>
        <w:jc w:val="both"/>
        <w:rPr>
          <w:sz w:val="22"/>
          <w:szCs w:val="22"/>
          <w:lang w:eastAsia="en-US"/>
        </w:rPr>
      </w:pPr>
      <w:r w:rsidRPr="007E29A9">
        <w:rPr>
          <w:sz w:val="22"/>
          <w:szCs w:val="22"/>
          <w:lang w:eastAsia="en-US"/>
        </w:rPr>
        <w:t xml:space="preserve">Vadoties no nepieciešamības motivēt Slimnīcas dežūru medicīnas personālu, </w:t>
      </w:r>
      <w:r w:rsidR="00321B90" w:rsidRPr="007E29A9">
        <w:rPr>
          <w:sz w:val="22"/>
          <w:szCs w:val="22"/>
          <w:lang w:eastAsia="en-US"/>
        </w:rPr>
        <w:t>tika noteiktas</w:t>
      </w:r>
      <w:r w:rsidRPr="007E29A9">
        <w:rPr>
          <w:sz w:val="22"/>
          <w:szCs w:val="22"/>
          <w:lang w:eastAsia="en-US"/>
        </w:rPr>
        <w:t xml:space="preserve"> papildus piemaksas Traumpunkts uzņemšanas nodaļas darbiniekiem par jūnija mēnesī veikto darbu un Traumatoloģijas centra (5.nodaļas) medicīnas personālam par jūlija mēnesī veikto darbu.</w:t>
      </w:r>
    </w:p>
    <w:p w:rsidR="001823E2" w:rsidRPr="007E29A9" w:rsidRDefault="001823E2" w:rsidP="001823E2">
      <w:pPr>
        <w:spacing w:line="360" w:lineRule="auto"/>
        <w:jc w:val="both"/>
        <w:rPr>
          <w:sz w:val="22"/>
          <w:szCs w:val="22"/>
          <w:lang w:eastAsia="en-US"/>
        </w:rPr>
      </w:pPr>
    </w:p>
    <w:p w:rsidR="001823E2" w:rsidRPr="007E29A9" w:rsidRDefault="009D6413" w:rsidP="001823E2">
      <w:pPr>
        <w:spacing w:line="360" w:lineRule="auto"/>
        <w:jc w:val="both"/>
        <w:rPr>
          <w:sz w:val="22"/>
          <w:szCs w:val="22"/>
          <w:lang w:eastAsia="en-US"/>
        </w:rPr>
      </w:pPr>
      <w:r w:rsidRPr="007E29A9">
        <w:rPr>
          <w:sz w:val="22"/>
          <w:szCs w:val="22"/>
          <w:lang w:eastAsia="en-US"/>
        </w:rPr>
        <w:t>2016.</w:t>
      </w:r>
      <w:r w:rsidR="001823E2" w:rsidRPr="007E29A9">
        <w:rPr>
          <w:sz w:val="22"/>
          <w:szCs w:val="22"/>
          <w:lang w:eastAsia="en-US"/>
        </w:rPr>
        <w:t xml:space="preserve">gada 3. ceturksnī tika plānots uzsākt mikrobioloģisko izmeklējumu veikšanu visiem pacientiem Pirmsoperāciju izmeklēšanas nodaļā, veicot skrīningu ar mērķi identificēt MRSA nēsātājus. Veicamo pasākumu kopums ļaus kontrolēt un samazināt septiskās komplikācijas Slimnīcas pacientiem, attiecīgi samazinot arī medikamentu izmaksas. Ņemot vērā darba apjoma pieaugšanu laboratorijas darbiniekiem, </w:t>
      </w:r>
      <w:r w:rsidR="00321B90" w:rsidRPr="007E29A9">
        <w:rPr>
          <w:sz w:val="22"/>
          <w:szCs w:val="22"/>
          <w:lang w:eastAsia="en-US"/>
        </w:rPr>
        <w:t xml:space="preserve">tika </w:t>
      </w:r>
      <w:r w:rsidR="001823E2" w:rsidRPr="007E29A9">
        <w:rPr>
          <w:sz w:val="22"/>
          <w:szCs w:val="22"/>
          <w:lang w:eastAsia="en-US"/>
        </w:rPr>
        <w:t xml:space="preserve"> akceptēt</w:t>
      </w:r>
      <w:r w:rsidR="00321B90" w:rsidRPr="007E29A9">
        <w:rPr>
          <w:sz w:val="22"/>
          <w:szCs w:val="22"/>
          <w:lang w:eastAsia="en-US"/>
        </w:rPr>
        <w:t>s</w:t>
      </w:r>
      <w:r w:rsidR="001823E2" w:rsidRPr="007E29A9">
        <w:rPr>
          <w:sz w:val="22"/>
          <w:szCs w:val="22"/>
          <w:lang w:eastAsia="en-US"/>
        </w:rPr>
        <w:t xml:space="preserve"> Mikrobioloģijas laboratorijas vadītā</w:t>
      </w:r>
      <w:r w:rsidR="00321B90" w:rsidRPr="007E29A9">
        <w:rPr>
          <w:sz w:val="22"/>
          <w:szCs w:val="22"/>
          <w:lang w:eastAsia="en-US"/>
        </w:rPr>
        <w:t xml:space="preserve">ja Dz. </w:t>
      </w:r>
      <w:r w:rsidR="00321B90" w:rsidRPr="007E29A9">
        <w:rPr>
          <w:sz w:val="22"/>
          <w:szCs w:val="22"/>
          <w:lang w:eastAsia="en-US"/>
        </w:rPr>
        <w:lastRenderedPageBreak/>
        <w:t>Ozoliņa iesniegumā minētais lūgums</w:t>
      </w:r>
      <w:r w:rsidR="001823E2" w:rsidRPr="007E29A9">
        <w:rPr>
          <w:sz w:val="22"/>
          <w:szCs w:val="22"/>
          <w:lang w:eastAsia="en-US"/>
        </w:rPr>
        <w:t xml:space="preserve"> un </w:t>
      </w:r>
      <w:r w:rsidRPr="007E29A9">
        <w:rPr>
          <w:sz w:val="22"/>
          <w:szCs w:val="22"/>
          <w:lang w:eastAsia="en-US"/>
        </w:rPr>
        <w:t>sākot ar š.g. 1.septembri</w:t>
      </w:r>
      <w:r w:rsidR="001823E2" w:rsidRPr="007E29A9">
        <w:rPr>
          <w:sz w:val="22"/>
          <w:szCs w:val="22"/>
          <w:lang w:eastAsia="en-US"/>
        </w:rPr>
        <w:t xml:space="preserve"> mikrobioloģijas laboratorijas štatu sarakstā </w:t>
      </w:r>
      <w:r w:rsidRPr="007E29A9">
        <w:rPr>
          <w:sz w:val="22"/>
          <w:szCs w:val="22"/>
          <w:lang w:eastAsia="en-US"/>
        </w:rPr>
        <w:t>atvērtas papildus 0,5 slodzes</w:t>
      </w:r>
      <w:r w:rsidR="001823E2" w:rsidRPr="007E29A9">
        <w:rPr>
          <w:sz w:val="22"/>
          <w:szCs w:val="22"/>
          <w:lang w:eastAsia="en-US"/>
        </w:rPr>
        <w:t xml:space="preserve">  biomedicīnas laborantam.</w:t>
      </w:r>
    </w:p>
    <w:p w:rsidR="001823E2" w:rsidRPr="007E29A9" w:rsidRDefault="001823E2" w:rsidP="001823E2">
      <w:pPr>
        <w:spacing w:line="360" w:lineRule="auto"/>
        <w:jc w:val="both"/>
        <w:rPr>
          <w:sz w:val="22"/>
          <w:szCs w:val="22"/>
          <w:lang w:eastAsia="en-US"/>
        </w:rPr>
      </w:pPr>
    </w:p>
    <w:p w:rsidR="001823E2" w:rsidRPr="007E29A9" w:rsidRDefault="00321B90" w:rsidP="001823E2">
      <w:pPr>
        <w:spacing w:line="360" w:lineRule="auto"/>
        <w:jc w:val="both"/>
        <w:rPr>
          <w:sz w:val="22"/>
          <w:szCs w:val="22"/>
          <w:lang w:eastAsia="en-US"/>
        </w:rPr>
      </w:pPr>
      <w:r w:rsidRPr="007E29A9">
        <w:rPr>
          <w:sz w:val="22"/>
          <w:szCs w:val="22"/>
          <w:lang w:eastAsia="en-US"/>
        </w:rPr>
        <w:t>L</w:t>
      </w:r>
      <w:r w:rsidR="001823E2" w:rsidRPr="007E29A9">
        <w:rPr>
          <w:sz w:val="22"/>
          <w:szCs w:val="22"/>
          <w:lang w:eastAsia="en-US"/>
        </w:rPr>
        <w:t>aika periodā no 2016.gada 1.septembra līdz 28.oktobrim</w:t>
      </w:r>
      <w:r w:rsidRPr="007E29A9">
        <w:rPr>
          <w:sz w:val="22"/>
          <w:szCs w:val="22"/>
          <w:lang w:eastAsia="en-US"/>
        </w:rPr>
        <w:t xml:space="preserve"> tika organizētas</w:t>
      </w:r>
      <w:r w:rsidR="001823E2" w:rsidRPr="007E29A9">
        <w:rPr>
          <w:sz w:val="22"/>
          <w:szCs w:val="22"/>
          <w:lang w:eastAsia="en-US"/>
        </w:rPr>
        <w:t xml:space="preserve"> Slimnīcas darbinieku obligātās veselības pārbaudes.</w:t>
      </w:r>
    </w:p>
    <w:p w:rsidR="001823E2" w:rsidRPr="007E29A9" w:rsidRDefault="001823E2" w:rsidP="007E29A9">
      <w:pPr>
        <w:spacing w:line="360" w:lineRule="auto"/>
        <w:jc w:val="both"/>
        <w:rPr>
          <w:sz w:val="22"/>
          <w:szCs w:val="22"/>
          <w:lang w:eastAsia="en-US"/>
        </w:rPr>
      </w:pPr>
    </w:p>
    <w:p w:rsidR="001823E2" w:rsidRPr="007E29A9" w:rsidRDefault="001823E2" w:rsidP="001823E2">
      <w:pPr>
        <w:spacing w:line="360" w:lineRule="auto"/>
        <w:jc w:val="both"/>
        <w:rPr>
          <w:sz w:val="22"/>
          <w:szCs w:val="22"/>
          <w:lang w:eastAsia="en-US"/>
        </w:rPr>
      </w:pPr>
      <w:r w:rsidRPr="007E29A9">
        <w:rPr>
          <w:sz w:val="22"/>
          <w:szCs w:val="22"/>
          <w:lang w:eastAsia="en-US"/>
        </w:rPr>
        <w:t xml:space="preserve">Vadoties no nepieciešamības optimizēt Traumpunkts uzņemšanas nodaļas darbu 2016. gada 3. ceturksnī,  sākot ar š.g. 12.septembri </w:t>
      </w:r>
      <w:r w:rsidR="00321B90" w:rsidRPr="007E29A9">
        <w:rPr>
          <w:sz w:val="22"/>
          <w:szCs w:val="22"/>
          <w:lang w:eastAsia="en-US"/>
        </w:rPr>
        <w:t xml:space="preserve">tika </w:t>
      </w:r>
      <w:r w:rsidRPr="007E29A9">
        <w:rPr>
          <w:sz w:val="22"/>
          <w:szCs w:val="22"/>
          <w:lang w:eastAsia="en-US"/>
        </w:rPr>
        <w:t>atvērt</w:t>
      </w:r>
      <w:r w:rsidR="00321B90" w:rsidRPr="007E29A9">
        <w:rPr>
          <w:sz w:val="22"/>
          <w:szCs w:val="22"/>
          <w:lang w:eastAsia="en-US"/>
        </w:rPr>
        <w:t>a</w:t>
      </w:r>
      <w:r w:rsidR="009D6413" w:rsidRPr="007E29A9">
        <w:rPr>
          <w:sz w:val="22"/>
          <w:szCs w:val="22"/>
          <w:lang w:eastAsia="en-US"/>
        </w:rPr>
        <w:t>s</w:t>
      </w:r>
      <w:r w:rsidR="00321B90" w:rsidRPr="007E29A9">
        <w:rPr>
          <w:sz w:val="22"/>
          <w:szCs w:val="22"/>
          <w:lang w:eastAsia="en-US"/>
        </w:rPr>
        <w:t xml:space="preserve"> 0.5 sanitāra slodze</w:t>
      </w:r>
      <w:r w:rsidR="009D6413" w:rsidRPr="007E29A9">
        <w:rPr>
          <w:sz w:val="22"/>
          <w:szCs w:val="22"/>
          <w:lang w:eastAsia="en-US"/>
        </w:rPr>
        <w:t>s</w:t>
      </w:r>
      <w:r w:rsidRPr="007E29A9">
        <w:rPr>
          <w:sz w:val="22"/>
          <w:szCs w:val="22"/>
          <w:lang w:eastAsia="en-US"/>
        </w:rPr>
        <w:t xml:space="preserve"> šajā struktūrvienībā.</w:t>
      </w:r>
    </w:p>
    <w:p w:rsidR="001823E2" w:rsidRPr="007E29A9" w:rsidRDefault="001823E2" w:rsidP="001823E2">
      <w:pPr>
        <w:spacing w:line="360" w:lineRule="auto"/>
        <w:jc w:val="both"/>
        <w:rPr>
          <w:sz w:val="22"/>
          <w:szCs w:val="22"/>
          <w:lang w:eastAsia="en-US"/>
        </w:rPr>
      </w:pPr>
    </w:p>
    <w:p w:rsidR="001823E2" w:rsidRPr="007E29A9" w:rsidRDefault="001823E2" w:rsidP="001823E2">
      <w:pPr>
        <w:spacing w:line="360" w:lineRule="auto"/>
        <w:jc w:val="both"/>
        <w:rPr>
          <w:sz w:val="22"/>
          <w:szCs w:val="22"/>
          <w:lang w:eastAsia="en-US"/>
        </w:rPr>
      </w:pPr>
      <w:r w:rsidRPr="007E29A9">
        <w:rPr>
          <w:sz w:val="22"/>
          <w:szCs w:val="22"/>
          <w:lang w:eastAsia="en-US"/>
        </w:rPr>
        <w:t xml:space="preserve">Lai nodrošinātu printeru izejmateriālu- toneru kasešu uzpildi un atjaunošanu, un ņemot vērā veikto tirgus izpēti, </w:t>
      </w:r>
      <w:r w:rsidR="00321B90" w:rsidRPr="007E29A9">
        <w:rPr>
          <w:sz w:val="22"/>
          <w:szCs w:val="22"/>
          <w:lang w:eastAsia="en-US"/>
        </w:rPr>
        <w:t xml:space="preserve">tika noslēgts līgums </w:t>
      </w:r>
      <w:r w:rsidRPr="007E29A9">
        <w:rPr>
          <w:sz w:val="22"/>
          <w:szCs w:val="22"/>
          <w:lang w:eastAsia="en-US"/>
        </w:rPr>
        <w:t>uz nākamo periodu ar SIA “Xprint”.</w:t>
      </w:r>
    </w:p>
    <w:p w:rsidR="001823E2" w:rsidRPr="007E29A9" w:rsidRDefault="001823E2" w:rsidP="007E29A9">
      <w:pPr>
        <w:spacing w:line="360" w:lineRule="auto"/>
        <w:jc w:val="both"/>
        <w:rPr>
          <w:sz w:val="22"/>
          <w:szCs w:val="22"/>
          <w:lang w:eastAsia="en-US"/>
        </w:rPr>
      </w:pPr>
    </w:p>
    <w:p w:rsidR="001823E2" w:rsidRPr="007E29A9" w:rsidRDefault="001823E2" w:rsidP="001823E2">
      <w:pPr>
        <w:spacing w:line="360" w:lineRule="auto"/>
        <w:jc w:val="both"/>
        <w:rPr>
          <w:sz w:val="22"/>
          <w:szCs w:val="22"/>
          <w:lang w:eastAsia="en-US"/>
        </w:rPr>
      </w:pPr>
      <w:r w:rsidRPr="007E29A9">
        <w:rPr>
          <w:sz w:val="22"/>
          <w:szCs w:val="22"/>
          <w:lang w:eastAsia="en-US"/>
        </w:rPr>
        <w:t>Lai attīstītu ar ortopēdiju saistītos pakalpojumus Slimnīcas teritorijā, valde nolēma izīrēt telpas bijušajā ambulatorās nodaļas ēkā un rīkot nomas tiesību izsoli nekustamā īpašuma daļai - 1.stāva telpām 83,8 m2 platībā Rīgā, Duntes ielā 22, 4.korpusā (būves kadastra Nr. 0100017 0150 004) ortopēdijas preču veikala izvietošanai.</w:t>
      </w:r>
    </w:p>
    <w:p w:rsidR="001823E2" w:rsidRPr="007E29A9" w:rsidRDefault="001823E2" w:rsidP="001823E2">
      <w:pPr>
        <w:spacing w:line="360" w:lineRule="auto"/>
        <w:jc w:val="both"/>
        <w:rPr>
          <w:sz w:val="22"/>
          <w:szCs w:val="22"/>
          <w:lang w:eastAsia="en-US"/>
        </w:rPr>
      </w:pPr>
    </w:p>
    <w:p w:rsidR="001823E2" w:rsidRPr="007E29A9" w:rsidRDefault="001823E2" w:rsidP="001823E2">
      <w:pPr>
        <w:spacing w:line="360" w:lineRule="auto"/>
        <w:jc w:val="both"/>
        <w:rPr>
          <w:sz w:val="22"/>
          <w:szCs w:val="22"/>
          <w:lang w:eastAsia="en-US"/>
        </w:rPr>
      </w:pPr>
      <w:r w:rsidRPr="007E29A9">
        <w:rPr>
          <w:sz w:val="22"/>
          <w:szCs w:val="22"/>
          <w:lang w:eastAsia="en-US"/>
        </w:rPr>
        <w:t xml:space="preserve">Lai nodrošinātu budžeta līdzekļu optimālāku izlietošanu un funkciju efektīvāku veikšanu, </w:t>
      </w:r>
      <w:r w:rsidR="00321B90" w:rsidRPr="007E29A9">
        <w:rPr>
          <w:sz w:val="22"/>
          <w:szCs w:val="22"/>
          <w:lang w:eastAsia="en-US"/>
        </w:rPr>
        <w:t>tika</w:t>
      </w:r>
      <w:r w:rsidRPr="007E29A9">
        <w:rPr>
          <w:sz w:val="22"/>
          <w:szCs w:val="22"/>
          <w:lang w:eastAsia="en-US"/>
        </w:rPr>
        <w:t xml:space="preserve"> slēgt</w:t>
      </w:r>
      <w:r w:rsidR="00321B90" w:rsidRPr="007E29A9">
        <w:rPr>
          <w:sz w:val="22"/>
          <w:szCs w:val="22"/>
          <w:lang w:eastAsia="en-US"/>
        </w:rPr>
        <w:t>a viena ārsta neiroķirurga slodze</w:t>
      </w:r>
      <w:r w:rsidRPr="007E29A9">
        <w:rPr>
          <w:sz w:val="22"/>
          <w:szCs w:val="22"/>
          <w:lang w:eastAsia="en-US"/>
        </w:rPr>
        <w:t xml:space="preserve"> Mugurkaula un locītavu ķirurģijas centrā (3. nodaļā) un atvērt</w:t>
      </w:r>
      <w:r w:rsidR="00321B90" w:rsidRPr="007E29A9">
        <w:rPr>
          <w:sz w:val="22"/>
          <w:szCs w:val="22"/>
          <w:lang w:eastAsia="en-US"/>
        </w:rPr>
        <w:t>a viena</w:t>
      </w:r>
      <w:r w:rsidRPr="007E29A9">
        <w:rPr>
          <w:sz w:val="22"/>
          <w:szCs w:val="22"/>
          <w:lang w:eastAsia="en-US"/>
        </w:rPr>
        <w:t xml:space="preserve"> ārs</w:t>
      </w:r>
      <w:r w:rsidR="00321B90" w:rsidRPr="007E29A9">
        <w:rPr>
          <w:sz w:val="22"/>
          <w:szCs w:val="22"/>
          <w:lang w:eastAsia="en-US"/>
        </w:rPr>
        <w:t>ta traumatologa, ortopēda slodze</w:t>
      </w:r>
      <w:r w:rsidRPr="007E29A9">
        <w:rPr>
          <w:sz w:val="22"/>
          <w:szCs w:val="22"/>
          <w:lang w:eastAsia="en-US"/>
        </w:rPr>
        <w:t xml:space="preserve"> šajā nodaļā un 0.5 ārsta traumatologa, ortopēda  slodzes Traumatoloģijas centrā ( 4. nodaļā).</w:t>
      </w:r>
    </w:p>
    <w:p w:rsidR="001823E2" w:rsidRPr="007E29A9" w:rsidRDefault="001823E2" w:rsidP="007E29A9">
      <w:pPr>
        <w:spacing w:line="360" w:lineRule="auto"/>
        <w:jc w:val="both"/>
        <w:rPr>
          <w:sz w:val="22"/>
          <w:szCs w:val="22"/>
          <w:lang w:eastAsia="en-US"/>
        </w:rPr>
      </w:pPr>
      <w:r w:rsidRPr="007E29A9">
        <w:rPr>
          <w:sz w:val="22"/>
          <w:szCs w:val="22"/>
          <w:lang w:eastAsia="en-US"/>
        </w:rPr>
        <w:t xml:space="preserve"> </w:t>
      </w:r>
    </w:p>
    <w:p w:rsidR="001823E2" w:rsidRPr="007E29A9" w:rsidRDefault="001823E2" w:rsidP="001823E2">
      <w:pPr>
        <w:spacing w:line="360" w:lineRule="auto"/>
        <w:jc w:val="both"/>
        <w:rPr>
          <w:sz w:val="22"/>
          <w:szCs w:val="22"/>
          <w:lang w:eastAsia="en-US"/>
        </w:rPr>
      </w:pPr>
      <w:r w:rsidRPr="007E29A9">
        <w:rPr>
          <w:sz w:val="22"/>
          <w:szCs w:val="22"/>
          <w:lang w:eastAsia="en-US"/>
        </w:rPr>
        <w:t>Optimizējot Slimnīcas personāla darba efektivitāti, valde nolēma nozīmēt Ambulatorās nodaļas vadītāju Inesi Breidi par Traumatoloģijas centra 5.nodaļas augšējās ekstremitātes grupas atbildīgo ārstu.</w:t>
      </w:r>
    </w:p>
    <w:p w:rsidR="001823E2" w:rsidRPr="00377887" w:rsidRDefault="001823E2" w:rsidP="001823E2">
      <w:pPr>
        <w:spacing w:line="360" w:lineRule="auto"/>
        <w:jc w:val="both"/>
        <w:rPr>
          <w:sz w:val="22"/>
          <w:szCs w:val="22"/>
          <w:lang w:eastAsia="en-US"/>
        </w:rPr>
      </w:pPr>
    </w:p>
    <w:p w:rsidR="001823E2" w:rsidRPr="007E29A9" w:rsidRDefault="001823E2" w:rsidP="001823E2">
      <w:pPr>
        <w:spacing w:line="360" w:lineRule="auto"/>
        <w:jc w:val="both"/>
        <w:rPr>
          <w:sz w:val="22"/>
          <w:szCs w:val="22"/>
          <w:lang w:eastAsia="en-US"/>
        </w:rPr>
      </w:pPr>
      <w:r w:rsidRPr="007E29A9">
        <w:rPr>
          <w:sz w:val="22"/>
          <w:szCs w:val="22"/>
          <w:lang w:eastAsia="en-US"/>
        </w:rPr>
        <w:t>Lai nodrošinātu iepirkumu procedūru Slimnīcā atbilstoši “Publisko iepirkumu likumā” noteiktajai kārtībai, laika periodā no 2016.gada 1. janvāra  līdz 30. septembrim  tika izsludinātas un veiktas sekojošas iepirkumu procedūras: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Programmatūras licenču noma;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Ķirurģiskā šuvju materiāla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Pulsējošas strūklas brūces skalošanas - atsūkšanas sistēmas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Sterilizācijas palīgmateriālu un dezinfekcijas līdzekļu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Papildus ārstniecības līdzekļu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Reaģentu AB(0) asins grupas noteikšanai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Nepieciešamais vienreizlietojamo preču iepirkums brūču ārstēšanai ar kontrolētu vakuumu;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lastRenderedPageBreak/>
        <w:t>Vienreizlietojamās sterilās operācijas veļas un vienreizlietojamo ķirurģisko halātu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Augšstilba kaula proksimālu lūzumu intramedullāras osteosintēzes sistēmas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Reanimācijas un anestezioloģijas nodaļai nepieciešamās aparatūras (videolaringoskopa un 2 defibrilatoru)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Mugurkaula ķirurģijas spēka instrumenta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Pacienta pozicionēšanas rāmja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Tīrīšanas, antiseptiskas apstrādes un kopšanas līdzekļu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Lielā lielkaula un ciskas kaula osteosintēzes stieņu un skrūvju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Elektrisko tīklu, elektroarmatūras apkope un apgaismojuma apkalpošana VSIA „Traumatoloģijas un ortopēdijas slimnīca”;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Hemostātisko līdzekļu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Artroskopisko instrumentu un implantu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Vienreizlietojamo instrumentu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Anestēzijas darba staciju un mākslīgo plaušu ventilācijas iekārtu tehniskā apkope un to rezerves daļu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Ražotāja Synthes specifisko instrumentu remonta pakalpojuma sniegšana;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Saimniecības preču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Osteosintēzes plākšņu un skrūvju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3.korpusa 4. un 5.nodaļas kosmētiskais remonts un 1.korpusa netīrās veļas telpas remonts;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Koku kopšanas un zāģēšanas darbi;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Spēka instrumentu komplekta operāciju vajadzībām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Daudzfunkcionālas digitālās ultrasonogrāfijas iekārtas noma, piegāde un uzstādīšana;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Centralizētās sterilizācijas un sterilo materiālu apgādes nodaļas iekārtu apkope un remonts;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Monitora un anestēzijas mašīnas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Vienreizlietojamie nesterilie un sterilie produkti;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Priekšējās fiksācijas sistēmas mugurkaula kakla daļas skriemeļu traumu un deģeneratīvu saslimšanu ķirurģiskai ārstēšanai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Rentgena digitalizācijas sistēmas skenera optikas moduļa piegāde un uzstādīšana;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Vienreizlietojamo vertebroplastijas komplektu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lastRenderedPageBreak/>
        <w:t>Siltumtrases pārbūve (1. un 38. korpuss);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Vienota mugurkaula fiksācijas sistēma no galvaskausa pamatnes līdz krusta kaulam 360 grādu fiksācijai;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Lielo kaulu fragmentu osteosintēzes implantu 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Teritorijas apsaimniekošanas pakalpojumu sniegšana;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3.korpusa metāla jumta remonts;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Daudzreiz lietojamas pacientu veļas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Laminoplastijas plākšņu un skrūvju sistēma;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Mugurkaulāja kakla daļas starpskriemeļu diska aizvietotāju keidžu (3D printētie)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Par kustamas mantas un nekustama īpašuma apsardzes un sabiedriskās kārtības nodrošināšanas pakalpojuma sniegšanas tiesībām valsts sabiedrībai ar ierobežotu atbildību „Traumatoloģijas un ortopēdijas slimnīca”;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Firmas “SIEMENS” iekārtu tehniskā apkope”;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Kaulu cementa 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Pleca locītavas endoprotēžu un modulāras elkoņa endoprotēzes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Vidējo kaulu fragmentu bloķējošo osteosintēžu piegāde;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Spēka un pneimatisko instrumentu komplektācijas daļu nomaiņa un papildināšana;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Juridisko pakalpojumu sniegšana;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Mazo kaulu osteosintēzes implantu iegāde;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4.korpusa telpu remonts;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Barotnes piegāde automatizētajam asins un citu organisma šķidrumu sterilitātes kontroles analizatoram;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Par medicīniskā skābekļa gazifikācijas un uzglabāšanas sistēmas nomu un tai nepieciešamā medicīniskā skābekļa piegādi;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Nomas tiesību izsole nekustamā īpašuma daļai - 1.stāva telpām 83,8 m2 platībā Rīgā, Duntes ielā 22, 4.korpusā (būves kadastra Nr. 22017 0150 004) ortopēdijas preču veikala izvietošanai;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Darba vides iekšējā uzraudzība.</w:t>
      </w:r>
    </w:p>
    <w:p w:rsidR="001823E2" w:rsidRPr="007E29A9" w:rsidRDefault="001823E2" w:rsidP="001823E2">
      <w:pPr>
        <w:spacing w:after="200" w:line="360" w:lineRule="auto"/>
        <w:contextualSpacing/>
        <w:jc w:val="both"/>
        <w:rPr>
          <w:sz w:val="22"/>
          <w:szCs w:val="22"/>
          <w:lang w:eastAsia="en-US"/>
        </w:rPr>
      </w:pPr>
    </w:p>
    <w:p w:rsidR="001823E2" w:rsidRPr="007E29A9" w:rsidRDefault="001823E2" w:rsidP="001823E2">
      <w:pPr>
        <w:spacing w:after="200" w:line="360" w:lineRule="auto"/>
        <w:contextualSpacing/>
        <w:jc w:val="both"/>
        <w:rPr>
          <w:sz w:val="22"/>
          <w:szCs w:val="22"/>
          <w:lang w:eastAsia="en-US"/>
        </w:rPr>
      </w:pPr>
      <w:r w:rsidRPr="007E29A9">
        <w:rPr>
          <w:sz w:val="22"/>
          <w:szCs w:val="22"/>
          <w:lang w:eastAsia="en-US"/>
        </w:rPr>
        <w:t>Savukārt, lai nodrošinātu ISO 9001 noteiktajiem standartiem atbilstošu Slimnīcas darbību, tika veiktas sekojošas darbības kvalitātes sistēmas uzturēšanai: laika posmā no 2016. gada 1. janvāra līdz 2016. gada 30. septembrim  Slimnīcā ir izstrādāti un/vai aktualizēti un apstiprināti sekojoši iekšējie normatīvie dokumenti: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lastRenderedPageBreak/>
        <w:t>Procesa apraksts „Pacientu reģistrācija ārstu konsultācijām, ārstu konsultāciju un ārstu konsīliju nodrošināšana Ambulatorajā nodaļā”;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„Ķirurģisko operāciju nodrošināšana”;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„Ārstēšanas un aprūpes nodrošināšana Īslaicīgās ķirurģijas centrā (1. nodaļa)”;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„Telpu uzkopšanas kārtība”;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„Telpu uzkopšanas kārtība”;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„Artroskopisko instrumentu un aparatūras saņemšana, pasūtīšana, uzskaite, glabāšana un norakstīšana”;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„Audu apstrāde”;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„Audu iepakošana un marķēšana”;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„Dokumentu vadība”;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Nolikums par Patohistoloģijas un audu konservācijas  laboratoriju;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 Sterili organisma šķidrumi (izņemot asinis, lumbālpunktātu, dializātu un urīnu);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 Aerobo bakterioloģija Asins kultūras;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Risku identifikācija un prevencija Patohistoloģijas un audu konservācijas laboratorijā;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Audu apstrādes kritisko procesu validācija;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Kaula un skrimšļa alotransplantātu izgatavošanas metode;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Darba drošības instrukcija klientu pārvietošanai ar palīgierīcēm;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 tabulas par izmeklējamā materiāla savākšanu un nosūtīšanu mikrobioloģiskai izmeklēšanai;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Mikrobioloģijas laboratorijas ārējās kvalitātes kontroles plāns;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Laboratorijas darbības uzlabošanas plāns;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izmeklējamo materiālu savākšanas un nosūtīšanas noteikumiem;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Kvalitātes politikas rokasgrāmata;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Nolikums par Centralizētās sterilizācijas un sterilo materiālu apgādes nodaļu;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Nolikums par medikamentu lietošanu;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rīcību bojāta artroskopijas instrumenta vai aparatūras gadījumā;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gripas un citu akūtu respiratorisku vīrusinfekciju  (ARVI) ierobežošanas pasākumiem;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 xml:space="preserve">Instrukcija par Traumpunkts - uzņemšanas nodaļas, Anestezioloģijas un reanimācijas nodaļas, Ambulatorās nodaļas, klīnisko nodaļu un Patohistoloģijas un </w:t>
      </w:r>
      <w:r w:rsidRPr="007E29A9">
        <w:rPr>
          <w:sz w:val="22"/>
          <w:szCs w:val="22"/>
        </w:rPr>
        <w:lastRenderedPageBreak/>
        <w:t>audu konservācijas laboratorijas procedūru laikā izlietoto ķirurģisko instrumentu manuālo dezinfekciju, mazgāšanu un aprites kārtību;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rīcību ugunsgrēka gadījumā;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nodaļas inventāra un telpu remontu;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instrumentu nodošanu lietošanā citām medicīnas iestādēm;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izlietotās veļas savākšanu, šķirošanu un nodošanu veļas mazgātavā;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sterilizatora testēšanas metodēm;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instrumentu sagatavošanu sterilizācijai;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instrumentu nodošanu remontā;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rīcību aparatūras bojājuma gadījumā;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izlietoto instrumentu dekontamināciju;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rīcību bojātu instrumentu un bojātu vai brāķētu implantu konstatēšanas vai instrumentu pazaudēšanas gadījumā;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Iekšējās kārtības noteikumi Centralizētās sterilizācijas un sterilo materiālu apgādes nodaļā;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smaguma celšanu un pārvietošanu;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osteosintēzes implantu izsniegšanu no implantu noliktavas;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sterilā materiāla kvalitātes kontroli;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instrumentu sterilizācijas paņēmieniem;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pirmajā kārtā sterilizējamo instrumentu komplektu sagatavošanu un transportēšanu;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operāciju laikā izmantoto instrumentu savākšanu un nogādi CSAN;</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darbībām ar tīro veļu;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instrumentu sagatavošanu ātrajai sterilizācijai;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Lietvedības instrukcija;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Risku identifikācija un prevencija Patohistoloģijas un audu konservācijas laboratorijā;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Audu apstrādes kritisko procesu validācija;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Noteikumi audu transplantātu saņemšanai no Patohistoloģijas un audu konservācijas laboratorijas, to uzglabāšanai un atgriešanai laboratorijā;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kaulu allotransplantātu nodošanai citām medicīnas iestādēm;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Kaulu audu materiāla transportēšana;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darbam ar parafīna ieguldes termostatu TB3-25;</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lastRenderedPageBreak/>
        <w:t>Metodes validācija kaula un skrimšļa allotransplantāta izgatavošana;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Ziņošanas kārtība par nevēlamiem notikumiem;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Medikamentu saraksts;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“Dokumentu un pierakstu vadība”;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“Ziņošanas kārtība par nopietnām blaknēm un nevēlamiem notikumiem”;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“Audu uzglabāšana un izlaide”;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“Audu transportēšana”;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“Audu atsaukšana”;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“Audu transplantātu nodošana citam audu centram laboratorijas vai iestādes likvidācijas gadījumā”;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Nolikums par Diagnostiskās radioloģijas nodaļu;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Nolikums par Nozokomiālās infekcijas uzraudzības padomi;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“Infekcijas slimību uzraudzība”;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Procesa apraksts “Pirmsoperācijas izmeklēšanas nodaļas darbība”;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Higiēniskā un pretepidēmiskā režīma plāns;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roku higiēnu slimnīcā;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endoprotēžu, mugurkaula un vertebroloģisko implantu uzskaiti un norakstīšanu;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rīcību bojāta endoprotēžu un mugurkaulu implantu gadījumā;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slimnīcas veļas un gultas piederumu aprites kārtību;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darbībām ar atkritumiem;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rīcību gadījumos, ja ārstniecības iestādes darbiniekam konstatēta infekcijas slimība, kas rada infekcijas izplatīšanās risku darbinieku un pacientu vidū;</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darbinieku inficēšanās riska novērtēšanu ar vakcīnregulējamām slimībām un to profilakse;</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infekcioza pacienta aprūpi un vides uzturēšanu;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imūnbioloģisko preparātu (vakcīnu un imūnglobulīnu) uzglabāšanas prasību nodrošināšanu un bojājumu novēršanu elektroapgādes pārtraukumu vai citu ledusskapju darbības traucējumu gadījumos;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Instrukcija par virsmu un medicīnas ierīču dezinfekcijas līdzekļa Incidin Pro šķīduma koncentrāciju;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Noteikumi par asins komponentu izsniegšanu un transfūziju;</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lastRenderedPageBreak/>
        <w:t>Iekšējās kārtības noteikumi stacionāra pacientiem;</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Noteikumi par audu un orgānu patohistoloģisku izmeklēšanu patohistoloģijas un audu konservācijas laboratorijā;</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Iekšējās kārtības noteikumi slimnīcas apmeklētājiem.</w:t>
      </w:r>
    </w:p>
    <w:p w:rsidR="001823E2" w:rsidRPr="007E29A9" w:rsidRDefault="001823E2" w:rsidP="001823E2">
      <w:pPr>
        <w:spacing w:before="60" w:line="360" w:lineRule="auto"/>
        <w:ind w:left="1276"/>
        <w:jc w:val="both"/>
        <w:rPr>
          <w:sz w:val="22"/>
          <w:szCs w:val="22"/>
        </w:rPr>
      </w:pPr>
    </w:p>
    <w:p w:rsidR="001823E2" w:rsidRPr="007E29A9" w:rsidRDefault="001823E2" w:rsidP="001823E2">
      <w:pPr>
        <w:spacing w:line="360" w:lineRule="auto"/>
        <w:jc w:val="both"/>
        <w:rPr>
          <w:sz w:val="22"/>
          <w:szCs w:val="22"/>
        </w:rPr>
      </w:pPr>
      <w:r w:rsidRPr="007E29A9">
        <w:rPr>
          <w:sz w:val="22"/>
          <w:szCs w:val="22"/>
        </w:rPr>
        <w:t xml:space="preserve">Kvalitātes vadības sistēmu pārskatu sapulcēs 2016. gadā tika prezentēti darbinieku iesniegtie problēmu ziņojumi, kam tiek noteiktas korektīvās un / vai preventīvās darbības, atbildīgais par veicamo darbību un izpildes termiņš. Problēmu ziņojumu statusa kontrole notika vadoties no Kvalitātes vadības sistēmu pārskatu sapulcēs noteiktajiem izpildes termiņiem. </w:t>
      </w:r>
    </w:p>
    <w:p w:rsidR="001823E2" w:rsidRPr="007E29A9" w:rsidRDefault="001823E2" w:rsidP="001823E2">
      <w:pPr>
        <w:spacing w:line="360" w:lineRule="auto"/>
        <w:jc w:val="both"/>
        <w:rPr>
          <w:sz w:val="22"/>
          <w:szCs w:val="22"/>
        </w:rPr>
      </w:pPr>
      <w:r w:rsidRPr="007E29A9">
        <w:rPr>
          <w:sz w:val="22"/>
          <w:szCs w:val="22"/>
        </w:rPr>
        <w:t>Iepriekš minētajā laika periodā ir iesniegti un izskatīti 30 problēmu ziņojumi.</w:t>
      </w:r>
    </w:p>
    <w:p w:rsidR="001823E2" w:rsidRPr="007E29A9" w:rsidRDefault="001823E2" w:rsidP="001823E2">
      <w:pPr>
        <w:spacing w:line="360" w:lineRule="auto"/>
        <w:jc w:val="center"/>
        <w:rPr>
          <w:sz w:val="22"/>
          <w:szCs w:val="22"/>
        </w:rPr>
      </w:pPr>
    </w:p>
    <w:p w:rsidR="001823E2" w:rsidRPr="007E29A9" w:rsidRDefault="001823E2" w:rsidP="001823E2">
      <w:pPr>
        <w:spacing w:line="360" w:lineRule="auto"/>
        <w:jc w:val="both"/>
        <w:rPr>
          <w:sz w:val="22"/>
          <w:szCs w:val="22"/>
        </w:rPr>
      </w:pPr>
      <w:r w:rsidRPr="007E29A9">
        <w:rPr>
          <w:sz w:val="22"/>
          <w:szCs w:val="22"/>
        </w:rPr>
        <w:t>Minētajā laika posmā notika pacientu aptaujas: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Mugurkaula un locītavu ķirurģijas centrs (3. nodaļa);</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Ambulatorā nodaļa.</w:t>
      </w:r>
    </w:p>
    <w:p w:rsidR="001823E2" w:rsidRPr="007E29A9" w:rsidRDefault="001823E2" w:rsidP="001823E2">
      <w:pPr>
        <w:pStyle w:val="ListParagraph"/>
        <w:tabs>
          <w:tab w:val="left" w:pos="709"/>
        </w:tabs>
        <w:spacing w:before="60"/>
        <w:ind w:left="284"/>
        <w:jc w:val="both"/>
        <w:rPr>
          <w:sz w:val="22"/>
          <w:szCs w:val="22"/>
        </w:rPr>
      </w:pPr>
    </w:p>
    <w:p w:rsidR="001823E2" w:rsidRPr="007E29A9" w:rsidRDefault="001823E2" w:rsidP="001823E2">
      <w:pPr>
        <w:spacing w:line="360" w:lineRule="auto"/>
        <w:jc w:val="both"/>
        <w:rPr>
          <w:sz w:val="22"/>
          <w:szCs w:val="22"/>
        </w:rPr>
      </w:pPr>
      <w:r w:rsidRPr="007E29A9">
        <w:rPr>
          <w:sz w:val="22"/>
          <w:szCs w:val="22"/>
        </w:rPr>
        <w:t>2016. g. 25. februārī ir noteikti jauni Slimnīcas mērķi:</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 xml:space="preserve">Iegādāties tvaika attīrīšanas iekārtu Centralizētās sterilizācijas un sterilo materiālu apgādes nodaļai – 2016. gada 1.maijs; </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Veikt māsu un māsu palīgu aptauju, noskaidrojot viņu viedokli par darbu Slimnīcā – 2017. gada 1. janvāris;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Veikt Traumatoloģijas centra (5. nodaļa) aprūpes telpas remontu – 2017. gada 1. janvāris;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Izveidot informatīvo video pacientiem par rehabilitācijas procesu pēcoperācijas periodā – 2017. gada 1. janvāris;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Veikt sonogrāfa iegādi Diagnostiskās radioloģijas nodaļai – 2017. gada 1. janvāris;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Izveidot Veļas apgādes nodaļu (noteikt nodaļas darba organizāciju, izveidot telpas un plānot personālu) – 2017. gada 1. jūlijs;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Izveidot multifunkcionālu operāciju zonu 5. operāciju blokā (1. etaps) – 2018. gada 1. janvāris;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 xml:space="preserve">Veikt 1. operāciju bloka telpu remontu – 2018. gada 1. janvāris; </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 xml:space="preserve">Veikt endoprotēžu noliktavas telpas remontu – 2018. gada 1. janvāris; </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Iegūt vadošās, specializētās medicīnas iestādes statusu Latvijā – 2018. gada 1. janvāris;</w:t>
      </w:r>
    </w:p>
    <w:p w:rsidR="001823E2" w:rsidRPr="007E29A9" w:rsidRDefault="001823E2" w:rsidP="001823E2">
      <w:pPr>
        <w:numPr>
          <w:ilvl w:val="0"/>
          <w:numId w:val="9"/>
        </w:numPr>
        <w:spacing w:before="60" w:line="360" w:lineRule="auto"/>
        <w:ind w:left="1276" w:hanging="567"/>
        <w:jc w:val="both"/>
        <w:rPr>
          <w:sz w:val="22"/>
          <w:szCs w:val="22"/>
        </w:rPr>
      </w:pPr>
      <w:r w:rsidRPr="007E29A9">
        <w:rPr>
          <w:sz w:val="22"/>
          <w:szCs w:val="22"/>
        </w:rPr>
        <w:t xml:space="preserve">Attīstīt Slimnīcas darbības pamatvirzienu – pētniecība un iegūt zinātniskā pētījumu centra statusu – 2020. gada 1. janvāris. </w:t>
      </w:r>
    </w:p>
    <w:p w:rsidR="001823E2" w:rsidRPr="007E29A9" w:rsidRDefault="001823E2" w:rsidP="001823E2">
      <w:pPr>
        <w:pStyle w:val="ListParagraph"/>
        <w:spacing w:after="200" w:line="360" w:lineRule="auto"/>
        <w:ind w:left="0"/>
        <w:jc w:val="both"/>
        <w:rPr>
          <w:sz w:val="22"/>
          <w:szCs w:val="22"/>
        </w:rPr>
      </w:pPr>
      <w:r w:rsidRPr="007E29A9">
        <w:rPr>
          <w:sz w:val="22"/>
          <w:szCs w:val="22"/>
        </w:rPr>
        <w:lastRenderedPageBreak/>
        <w:t>Iepriekš minētajā laika posmā Slimnīcā nav konstatēti gadījumi par interešu konfliktu situācijām un / vai ārstniecības personāla negodprātīgu, neētisku rīcību.</w:t>
      </w:r>
    </w:p>
    <w:p w:rsidR="001823E2" w:rsidRPr="007E29A9" w:rsidRDefault="001823E2" w:rsidP="001823E2">
      <w:pPr>
        <w:pStyle w:val="PlainText"/>
        <w:spacing w:line="360" w:lineRule="auto"/>
        <w:jc w:val="both"/>
        <w:rPr>
          <w:rFonts w:ascii="Times New Roman" w:hAnsi="Times New Roman"/>
          <w:sz w:val="22"/>
          <w:szCs w:val="22"/>
        </w:rPr>
      </w:pPr>
      <w:r w:rsidRPr="007E29A9">
        <w:rPr>
          <w:rFonts w:ascii="Times New Roman" w:hAnsi="Times New Roman"/>
          <w:sz w:val="22"/>
          <w:szCs w:val="22"/>
        </w:rPr>
        <w:t>Kaut arī Norvēģu valdības divpusējā finanšu instrumenta projekts Nr. LV0026 „Aprūpes organizācija” ir noslēdzies 2011.gadā, šobrīd turpinās ikdienas darbs ar tā rezultātā izstrādātajām datorprogrammām. Operāciju plānošanai veiksmīgi tiek izmantota Opis operāciju plānošanas sistēma. Turpinās arī Endoprotēžu reģistra funkcionalitātes papildināšana un kļūdu labošana. Lai nodrošinātu programmu attīstību un pielāgošanu Slimnīcas vajadzībām, ir pieņemts darbā programists šo programmu apkalpošanai uz 0.5 slodzi.</w:t>
      </w:r>
    </w:p>
    <w:p w:rsidR="001823E2" w:rsidRPr="007E29A9" w:rsidRDefault="001823E2" w:rsidP="001823E2">
      <w:pPr>
        <w:pStyle w:val="PlainText"/>
        <w:spacing w:line="360" w:lineRule="auto"/>
        <w:jc w:val="both"/>
        <w:rPr>
          <w:rFonts w:ascii="Times New Roman" w:hAnsi="Times New Roman"/>
          <w:sz w:val="22"/>
          <w:szCs w:val="22"/>
        </w:rPr>
      </w:pPr>
      <w:r w:rsidRPr="007E29A9">
        <w:rPr>
          <w:rFonts w:ascii="Times New Roman" w:hAnsi="Times New Roman"/>
          <w:sz w:val="22"/>
          <w:szCs w:val="22"/>
        </w:rPr>
        <w:t>2016.gada 1. ceturksnī ir uzlabota serveru elektroapgādes sistēma: iegādāta jauna nepārtrauktas barošanas sistēma, izveidota automātiska pārslēgšanās starp barošanu no diviem dažādiem ārējiem ievadiem.</w:t>
      </w:r>
    </w:p>
    <w:p w:rsidR="001823E2" w:rsidRPr="007E29A9" w:rsidRDefault="001823E2" w:rsidP="001823E2">
      <w:pPr>
        <w:pStyle w:val="PlainText"/>
        <w:spacing w:line="360" w:lineRule="auto"/>
        <w:jc w:val="both"/>
        <w:rPr>
          <w:rFonts w:ascii="Times New Roman" w:hAnsi="Times New Roman"/>
          <w:sz w:val="22"/>
          <w:szCs w:val="22"/>
        </w:rPr>
      </w:pPr>
      <w:r w:rsidRPr="007E29A9">
        <w:rPr>
          <w:rFonts w:ascii="Times New Roman" w:hAnsi="Times New Roman"/>
          <w:sz w:val="22"/>
          <w:szCs w:val="22"/>
        </w:rPr>
        <w:t>2016.gada sākumā ir noslēgts Microsoft licenču nomas līgums uz nākamajiem 3 gadiem.</w:t>
      </w:r>
    </w:p>
    <w:p w:rsidR="001823E2" w:rsidRPr="007E29A9" w:rsidRDefault="001823E2" w:rsidP="001823E2">
      <w:pPr>
        <w:spacing w:line="360" w:lineRule="auto"/>
        <w:jc w:val="both"/>
        <w:rPr>
          <w:rFonts w:eastAsia="Calibri"/>
          <w:sz w:val="22"/>
          <w:szCs w:val="22"/>
          <w:lang w:eastAsia="en-US"/>
        </w:rPr>
      </w:pPr>
      <w:r w:rsidRPr="007E29A9">
        <w:rPr>
          <w:rFonts w:eastAsia="Calibri"/>
          <w:sz w:val="22"/>
          <w:szCs w:val="22"/>
          <w:lang w:eastAsia="en-US"/>
        </w:rPr>
        <w:t>2016. gada 3. ceturksnī ir veikta pāreja uz modernāku programmatūru endoprotēžu templetēšanai, kā arī tika ieviesta elektroniskā laboratorijas nosūtījumu veikšana no Traumpunkts uzņemšanas nodaļas, uzlabojot šo nodaļu darba efektivitāti. Tika trīskāršots lokālā disku arhīva pieejamais apjoms rentgenoloģisko izmeklējumu glabāšanai, līdz ar to novērsts gaidīšanas laika pieaugums attēlu aplūkošanai.Minētajā laika periodā ir palielināts elektroniski aizpildāmo dokumentu skaits.</w:t>
      </w:r>
    </w:p>
    <w:p w:rsidR="001823E2" w:rsidRPr="007E29A9" w:rsidRDefault="001823E2" w:rsidP="001823E2">
      <w:pPr>
        <w:spacing w:line="360" w:lineRule="auto"/>
        <w:jc w:val="both"/>
        <w:rPr>
          <w:rFonts w:eastAsia="Calibri"/>
          <w:sz w:val="22"/>
          <w:szCs w:val="22"/>
          <w:lang w:eastAsia="en-US"/>
        </w:rPr>
      </w:pPr>
      <w:r w:rsidRPr="007E29A9">
        <w:rPr>
          <w:rFonts w:eastAsia="Calibri"/>
          <w:sz w:val="22"/>
          <w:szCs w:val="22"/>
          <w:lang w:eastAsia="en-US"/>
        </w:rPr>
        <w:t>Atvaļinājumu periodā Slimnīcas Informācijas tehnoloģiju un datortehnikas apkopes nodaļa veica visas operāciju blokos esošās datortehnikas apkopi, ierobežota budžeta apstākļos maksimāli izmantojot savus resursus bojāto komponentu remontam un aizvietošanai.</w:t>
      </w:r>
    </w:p>
    <w:p w:rsidR="001823E2" w:rsidRPr="007E29A9" w:rsidRDefault="001823E2" w:rsidP="001823E2">
      <w:pPr>
        <w:pStyle w:val="PlainText"/>
        <w:spacing w:line="360" w:lineRule="auto"/>
        <w:jc w:val="both"/>
        <w:rPr>
          <w:rFonts w:ascii="Times New Roman" w:hAnsi="Times New Roman"/>
          <w:sz w:val="22"/>
          <w:szCs w:val="22"/>
        </w:rPr>
      </w:pPr>
    </w:p>
    <w:p w:rsidR="001823E2" w:rsidRPr="007E29A9" w:rsidRDefault="001823E2" w:rsidP="001823E2">
      <w:pPr>
        <w:pStyle w:val="PlainText"/>
        <w:spacing w:line="360" w:lineRule="auto"/>
        <w:jc w:val="both"/>
        <w:rPr>
          <w:rFonts w:ascii="Times New Roman" w:hAnsi="Times New Roman"/>
          <w:sz w:val="22"/>
          <w:szCs w:val="22"/>
        </w:rPr>
      </w:pPr>
      <w:r w:rsidRPr="007E29A9">
        <w:rPr>
          <w:rFonts w:ascii="Times New Roman" w:hAnsi="Times New Roman"/>
          <w:sz w:val="22"/>
          <w:szCs w:val="22"/>
        </w:rPr>
        <w:t xml:space="preserve">2016. gadā no Slimnīcas puses ir veikts darbs ārstniecības un aprūpes personāla pēcdiploma tālākizglītības jomā. Rūpējoties par klientu apmierinātību, sniegto pakalpojuma un pacientu aprūpes kvalitāti un drošību, Slimnīca vienmēr uztur aktuālas ārstniecības personu (māsas, ārsta palīga, māsas palīga) praktiskās specifiskās zināšanas ortopēdisku un traumatoloģisku pacientu aprūpē. Slimnīca sniedz atbalstu savu darbinieku profesionālo zināšanu pilnveidei, kas ir nepieciešama, lai uzturētu kvalitatīvu aprūpes praksi. </w:t>
      </w:r>
    </w:p>
    <w:p w:rsidR="001823E2" w:rsidRPr="007E29A9" w:rsidRDefault="001823E2" w:rsidP="001823E2">
      <w:pPr>
        <w:pStyle w:val="PlainText"/>
        <w:spacing w:line="360" w:lineRule="auto"/>
        <w:jc w:val="both"/>
        <w:rPr>
          <w:rFonts w:ascii="Times New Roman" w:hAnsi="Times New Roman"/>
          <w:sz w:val="22"/>
          <w:szCs w:val="22"/>
        </w:rPr>
      </w:pPr>
    </w:p>
    <w:p w:rsidR="001823E2" w:rsidRPr="007E29A9" w:rsidRDefault="001823E2" w:rsidP="00E84B96">
      <w:pPr>
        <w:spacing w:line="360" w:lineRule="auto"/>
        <w:jc w:val="both"/>
        <w:rPr>
          <w:sz w:val="22"/>
          <w:szCs w:val="22"/>
        </w:rPr>
      </w:pPr>
      <w:r w:rsidRPr="007E29A9">
        <w:rPr>
          <w:sz w:val="22"/>
          <w:szCs w:val="22"/>
        </w:rPr>
        <w:t>Rūpējoties par pacientu aprūpes drošību un uzturot aktuālas māsu praktiskās specifiskās zināšanas ortopēdisku un traumatoloģisku pacientu aprūpē,  un turpinot uzlabot  māsu darba kvalitāti, profesionālās pēcdiploma izglītības ietvaros, Slimnīca 2016. gadā ir ieplānojusi organizēt trīs izglītojošas apmācības programmas: “ Profesionālā saskarsme pacientu/klientu aprūpē”,</w:t>
      </w:r>
      <w:r w:rsidR="00E84B96">
        <w:rPr>
          <w:sz w:val="22"/>
          <w:szCs w:val="22"/>
        </w:rPr>
        <w:t xml:space="preserve"> </w:t>
      </w:r>
      <w:r w:rsidRPr="007E29A9">
        <w:rPr>
          <w:sz w:val="22"/>
          <w:szCs w:val="22"/>
        </w:rPr>
        <w:t>”Konfliktu risināšanas pr</w:t>
      </w:r>
      <w:r w:rsidR="00E84B96">
        <w:rPr>
          <w:sz w:val="22"/>
          <w:szCs w:val="22"/>
        </w:rPr>
        <w:t>oblēmas ārstniecības iestādēs”.</w:t>
      </w:r>
    </w:p>
    <w:p w:rsidR="001823E2" w:rsidRPr="007E29A9" w:rsidRDefault="001823E2" w:rsidP="001823E2">
      <w:pPr>
        <w:spacing w:line="360" w:lineRule="auto"/>
        <w:jc w:val="both"/>
        <w:rPr>
          <w:sz w:val="22"/>
          <w:szCs w:val="22"/>
        </w:rPr>
      </w:pPr>
      <w:r w:rsidRPr="007E29A9">
        <w:rPr>
          <w:sz w:val="22"/>
          <w:szCs w:val="22"/>
        </w:rPr>
        <w:t xml:space="preserve">2016.gada 2.ceturksnī Slimnīcā tika organizēta Latvijas Māsu asociācijas Operāciju māsu apvienības konference “Laikmeta ķirurģija“. Slimnīcas galvenā māsa piedalījās PKUS organizētajā profesionālās tālākizglītības seminārā “Laba klīniskā prakse” un SIA “Zinību cietoksnis” organizētājā skaidrojošajā seminārā par būtiskajām izmaiņām LR Ministru kabineta </w:t>
      </w:r>
      <w:r w:rsidRPr="007E29A9">
        <w:rPr>
          <w:sz w:val="22"/>
          <w:szCs w:val="22"/>
        </w:rPr>
        <w:lastRenderedPageBreak/>
        <w:t>noteikumos 16.02.2016. Nr. 104 “Noteikumi par higiēniskā un pretepidēmiskā režīma pamatprasībām ārstniecības iestādē”, kā arī starptautiskajā zinātniskajā konferencē "Innovations and perespectives of patients pereioperative care" (Lietuvā), kuras laikā guva pieredzes apmaiņu Santariškiu klinikos, un  starptautiskajā zinātniskajā konferencē "Patient and medical personall welness".</w:t>
      </w:r>
      <w:r w:rsidRPr="007E29A9">
        <w:rPr>
          <w:rFonts w:asciiTheme="majorBidi" w:hAnsiTheme="majorBidi" w:cstheme="majorBidi"/>
        </w:rPr>
        <w:t> </w:t>
      </w:r>
    </w:p>
    <w:p w:rsidR="00E84B96" w:rsidRDefault="00E84B96" w:rsidP="001823E2">
      <w:pPr>
        <w:spacing w:line="360" w:lineRule="auto"/>
        <w:jc w:val="both"/>
        <w:rPr>
          <w:rFonts w:asciiTheme="majorBidi" w:hAnsiTheme="majorBidi" w:cstheme="majorBidi"/>
        </w:rPr>
      </w:pPr>
    </w:p>
    <w:p w:rsidR="001823E2" w:rsidRPr="007E29A9" w:rsidRDefault="001823E2" w:rsidP="001823E2">
      <w:pPr>
        <w:spacing w:line="360" w:lineRule="auto"/>
        <w:jc w:val="both"/>
        <w:rPr>
          <w:sz w:val="22"/>
          <w:szCs w:val="22"/>
        </w:rPr>
      </w:pPr>
      <w:r w:rsidRPr="007E29A9">
        <w:rPr>
          <w:rFonts w:asciiTheme="majorBidi" w:hAnsiTheme="majorBidi" w:cstheme="majorBidi"/>
        </w:rPr>
        <w:t> </w:t>
      </w:r>
      <w:r w:rsidRPr="007E29A9">
        <w:rPr>
          <w:sz w:val="22"/>
          <w:szCs w:val="22"/>
        </w:rPr>
        <w:t>Ārstniecības un aprūpes personas  strādāja atbilstoši plānotajam darba režīmam un Slimnīca savas darbības ietvaros sniedza medicīnas pakalpojums.   </w:t>
      </w:r>
    </w:p>
    <w:p w:rsidR="001823E2" w:rsidRDefault="001823E2" w:rsidP="001823E2">
      <w:pPr>
        <w:jc w:val="both"/>
        <w:rPr>
          <w:sz w:val="22"/>
          <w:szCs w:val="22"/>
        </w:rPr>
      </w:pPr>
    </w:p>
    <w:p w:rsidR="00E84B96" w:rsidRDefault="00E84B96" w:rsidP="001823E2">
      <w:pPr>
        <w:jc w:val="both"/>
        <w:rPr>
          <w:sz w:val="22"/>
          <w:szCs w:val="22"/>
        </w:rPr>
      </w:pPr>
    </w:p>
    <w:p w:rsidR="00E84B96" w:rsidRPr="00377887" w:rsidRDefault="00E84B96" w:rsidP="001823E2">
      <w:pPr>
        <w:jc w:val="both"/>
        <w:rPr>
          <w:sz w:val="22"/>
          <w:szCs w:val="22"/>
        </w:rPr>
      </w:pPr>
    </w:p>
    <w:p w:rsidR="001823E2" w:rsidRPr="00377887" w:rsidRDefault="001823E2" w:rsidP="001823E2">
      <w:pPr>
        <w:jc w:val="both"/>
        <w:rPr>
          <w:sz w:val="22"/>
          <w:szCs w:val="22"/>
        </w:rPr>
      </w:pPr>
      <w:r w:rsidRPr="00377887">
        <w:rPr>
          <w:sz w:val="22"/>
          <w:szCs w:val="22"/>
        </w:rPr>
        <w:t>Valdes priekšsēdētāja</w:t>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t xml:space="preserve">                       A.Vaivode</w:t>
      </w:r>
    </w:p>
    <w:p w:rsidR="001823E2" w:rsidRPr="00377887" w:rsidRDefault="001823E2" w:rsidP="001823E2">
      <w:pPr>
        <w:jc w:val="both"/>
        <w:rPr>
          <w:sz w:val="22"/>
          <w:szCs w:val="22"/>
        </w:rPr>
      </w:pPr>
    </w:p>
    <w:p w:rsidR="001823E2" w:rsidRPr="00377887" w:rsidRDefault="001823E2" w:rsidP="001823E2">
      <w:pPr>
        <w:jc w:val="both"/>
        <w:rPr>
          <w:sz w:val="22"/>
          <w:szCs w:val="22"/>
        </w:rPr>
      </w:pPr>
      <w:r w:rsidRPr="00377887">
        <w:rPr>
          <w:sz w:val="22"/>
          <w:szCs w:val="22"/>
        </w:rPr>
        <w:t>Valdes locekle</w:t>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t>I.Rantiņa</w:t>
      </w:r>
    </w:p>
    <w:p w:rsidR="001823E2" w:rsidRPr="00377887" w:rsidRDefault="001823E2" w:rsidP="001823E2">
      <w:pPr>
        <w:jc w:val="both"/>
        <w:rPr>
          <w:sz w:val="22"/>
          <w:szCs w:val="22"/>
        </w:rPr>
      </w:pPr>
    </w:p>
    <w:p w:rsidR="001823E2" w:rsidRPr="00377887" w:rsidRDefault="001823E2" w:rsidP="001823E2">
      <w:pPr>
        <w:jc w:val="both"/>
        <w:rPr>
          <w:sz w:val="22"/>
          <w:szCs w:val="22"/>
        </w:rPr>
      </w:pPr>
      <w:r w:rsidRPr="00377887">
        <w:rPr>
          <w:sz w:val="22"/>
          <w:szCs w:val="22"/>
        </w:rPr>
        <w:t>Valdes loceklis</w:t>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t xml:space="preserve">           M.Ciems</w:t>
      </w:r>
    </w:p>
    <w:p w:rsidR="001823E2" w:rsidRPr="00377887" w:rsidRDefault="001823E2" w:rsidP="001823E2">
      <w:pPr>
        <w:jc w:val="both"/>
        <w:rPr>
          <w:sz w:val="22"/>
          <w:szCs w:val="22"/>
        </w:rPr>
      </w:pPr>
    </w:p>
    <w:p w:rsidR="008B42FE" w:rsidRPr="00377887" w:rsidRDefault="001823E2" w:rsidP="001823E2">
      <w:pPr>
        <w:jc w:val="both"/>
        <w:rPr>
          <w:sz w:val="22"/>
          <w:szCs w:val="22"/>
        </w:rPr>
      </w:pP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t xml:space="preserve">       </w:t>
      </w:r>
      <w:r w:rsidR="00410052" w:rsidRPr="00377887">
        <w:rPr>
          <w:sz w:val="22"/>
          <w:szCs w:val="22"/>
        </w:rPr>
        <w:t xml:space="preserve">                </w:t>
      </w:r>
    </w:p>
    <w:sectPr w:rsidR="008B42FE" w:rsidRPr="00377887" w:rsidSect="005D3B4F">
      <w:pgSz w:w="11906" w:h="16838" w:code="9"/>
      <w:pgMar w:top="1440" w:right="1418" w:bottom="748" w:left="1797" w:header="624" w:footer="601" w:gutter="0"/>
      <w:cols w:space="708"/>
      <w:titlePg/>
      <w:docGrid w:linePitch="1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B75" w:rsidRDefault="00E82B75" w:rsidP="000352AC">
      <w:r>
        <w:separator/>
      </w:r>
    </w:p>
  </w:endnote>
  <w:endnote w:type="continuationSeparator" w:id="0">
    <w:p w:rsidR="00E82B75" w:rsidRDefault="00E82B75"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420944"/>
      <w:docPartObj>
        <w:docPartGallery w:val="Page Numbers (Bottom of Page)"/>
        <w:docPartUnique/>
      </w:docPartObj>
    </w:sdtPr>
    <w:sdtEndPr/>
    <w:sdtContent>
      <w:p w:rsidR="004506D4" w:rsidRDefault="004506D4">
        <w:pPr>
          <w:pStyle w:val="Footer"/>
          <w:jc w:val="right"/>
        </w:pPr>
        <w:r>
          <w:fldChar w:fldCharType="begin"/>
        </w:r>
        <w:r>
          <w:instrText>PAGE   \* MERGEFORMAT</w:instrText>
        </w:r>
        <w:r>
          <w:fldChar w:fldCharType="separate"/>
        </w:r>
        <w:r w:rsidR="00B46C78">
          <w:rPr>
            <w:noProof/>
          </w:rPr>
          <w:t>1</w:t>
        </w:r>
        <w:r>
          <w:fldChar w:fldCharType="end"/>
        </w:r>
      </w:p>
    </w:sdtContent>
  </w:sdt>
  <w:p w:rsidR="004506D4" w:rsidRDefault="00450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803766"/>
      <w:docPartObj>
        <w:docPartGallery w:val="Page Numbers (Bottom of Page)"/>
        <w:docPartUnique/>
      </w:docPartObj>
    </w:sdtPr>
    <w:sdtEndPr/>
    <w:sdtContent>
      <w:p w:rsidR="004506D4" w:rsidRDefault="004506D4">
        <w:pPr>
          <w:pStyle w:val="Footer"/>
          <w:jc w:val="center"/>
        </w:pPr>
        <w:r>
          <w:fldChar w:fldCharType="begin"/>
        </w:r>
        <w:r>
          <w:instrText>PAGE   \* MERGEFORMAT</w:instrText>
        </w:r>
        <w:r>
          <w:fldChar w:fldCharType="separate"/>
        </w:r>
        <w:r w:rsidR="00B46C78">
          <w:rPr>
            <w:noProof/>
          </w:rPr>
          <w:t>6</w:t>
        </w:r>
        <w:r>
          <w:fldChar w:fldCharType="end"/>
        </w:r>
      </w:p>
    </w:sdtContent>
  </w:sdt>
  <w:p w:rsidR="004506D4" w:rsidRDefault="00450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B75" w:rsidRDefault="00E82B75" w:rsidP="000352AC">
      <w:r>
        <w:separator/>
      </w:r>
    </w:p>
  </w:footnote>
  <w:footnote w:type="continuationSeparator" w:id="0">
    <w:p w:rsidR="00E82B75" w:rsidRDefault="00E82B75" w:rsidP="0003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2">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4">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7">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3">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8">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4"/>
  </w:num>
  <w:num w:numId="4">
    <w:abstractNumId w:val="4"/>
  </w:num>
  <w:num w:numId="5">
    <w:abstractNumId w:val="27"/>
  </w:num>
  <w:num w:numId="6">
    <w:abstractNumId w:val="13"/>
  </w:num>
  <w:num w:numId="7">
    <w:abstractNumId w:val="5"/>
  </w:num>
  <w:num w:numId="8">
    <w:abstractNumId w:val="3"/>
  </w:num>
  <w:num w:numId="9">
    <w:abstractNumId w:val="42"/>
  </w:num>
  <w:num w:numId="10">
    <w:abstractNumId w:val="0"/>
  </w:num>
  <w:num w:numId="11">
    <w:abstractNumId w:val="37"/>
  </w:num>
  <w:num w:numId="12">
    <w:abstractNumId w:val="31"/>
  </w:num>
  <w:num w:numId="13">
    <w:abstractNumId w:val="30"/>
  </w:num>
  <w:num w:numId="14">
    <w:abstractNumId w:val="9"/>
  </w:num>
  <w:num w:numId="15">
    <w:abstractNumId w:val="2"/>
  </w:num>
  <w:num w:numId="16">
    <w:abstractNumId w:val="34"/>
  </w:num>
  <w:num w:numId="17">
    <w:abstractNumId w:val="1"/>
  </w:num>
  <w:num w:numId="18">
    <w:abstractNumId w:val="6"/>
  </w:num>
  <w:num w:numId="19">
    <w:abstractNumId w:val="25"/>
  </w:num>
  <w:num w:numId="20">
    <w:abstractNumId w:val="33"/>
  </w:num>
  <w:num w:numId="21">
    <w:abstractNumId w:val="15"/>
  </w:num>
  <w:num w:numId="22">
    <w:abstractNumId w:val="12"/>
  </w:num>
  <w:num w:numId="23">
    <w:abstractNumId w:val="32"/>
  </w:num>
  <w:num w:numId="24">
    <w:abstractNumId w:val="40"/>
  </w:num>
  <w:num w:numId="25">
    <w:abstractNumId w:val="21"/>
  </w:num>
  <w:num w:numId="26">
    <w:abstractNumId w:val="7"/>
  </w:num>
  <w:num w:numId="27">
    <w:abstractNumId w:val="11"/>
  </w:num>
  <w:num w:numId="28">
    <w:abstractNumId w:val="18"/>
  </w:num>
  <w:num w:numId="29">
    <w:abstractNumId w:val="16"/>
  </w:num>
  <w:num w:numId="30">
    <w:abstractNumId w:val="26"/>
  </w:num>
  <w:num w:numId="31">
    <w:abstractNumId w:val="41"/>
  </w:num>
  <w:num w:numId="32">
    <w:abstractNumId w:val="39"/>
  </w:num>
  <w:num w:numId="33">
    <w:abstractNumId w:val="22"/>
  </w:num>
  <w:num w:numId="34">
    <w:abstractNumId w:val="24"/>
  </w:num>
  <w:num w:numId="35">
    <w:abstractNumId w:val="20"/>
  </w:num>
  <w:num w:numId="36">
    <w:abstractNumId w:val="38"/>
  </w:num>
  <w:num w:numId="37">
    <w:abstractNumId w:val="23"/>
  </w:num>
  <w:num w:numId="38">
    <w:abstractNumId w:val="35"/>
  </w:num>
  <w:num w:numId="39">
    <w:abstractNumId w:val="36"/>
  </w:num>
  <w:num w:numId="40">
    <w:abstractNumId w:val="29"/>
  </w:num>
  <w:num w:numId="41">
    <w:abstractNumId w:val="10"/>
  </w:num>
  <w:num w:numId="42">
    <w:abstractNumId w:val="1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C4"/>
    <w:rsid w:val="000070E0"/>
    <w:rsid w:val="00007157"/>
    <w:rsid w:val="00017648"/>
    <w:rsid w:val="00017B0F"/>
    <w:rsid w:val="00021366"/>
    <w:rsid w:val="00025171"/>
    <w:rsid w:val="00025EF2"/>
    <w:rsid w:val="0002600E"/>
    <w:rsid w:val="00026A8A"/>
    <w:rsid w:val="00030DBD"/>
    <w:rsid w:val="0003426F"/>
    <w:rsid w:val="000352AC"/>
    <w:rsid w:val="00041BE2"/>
    <w:rsid w:val="000430D3"/>
    <w:rsid w:val="0004430F"/>
    <w:rsid w:val="00045AF5"/>
    <w:rsid w:val="00046743"/>
    <w:rsid w:val="00051497"/>
    <w:rsid w:val="00053835"/>
    <w:rsid w:val="00060C27"/>
    <w:rsid w:val="000611BF"/>
    <w:rsid w:val="0006353E"/>
    <w:rsid w:val="00064559"/>
    <w:rsid w:val="00065A4F"/>
    <w:rsid w:val="00070F4E"/>
    <w:rsid w:val="0007258C"/>
    <w:rsid w:val="00072DC8"/>
    <w:rsid w:val="00084EFC"/>
    <w:rsid w:val="00090EA6"/>
    <w:rsid w:val="00096A27"/>
    <w:rsid w:val="000A04E6"/>
    <w:rsid w:val="000A150D"/>
    <w:rsid w:val="000A2E43"/>
    <w:rsid w:val="000A587F"/>
    <w:rsid w:val="000A6673"/>
    <w:rsid w:val="000A68D5"/>
    <w:rsid w:val="000B0D34"/>
    <w:rsid w:val="000B47AF"/>
    <w:rsid w:val="000B6E6F"/>
    <w:rsid w:val="000C0D70"/>
    <w:rsid w:val="000C39A5"/>
    <w:rsid w:val="000C5ACB"/>
    <w:rsid w:val="000C6EAF"/>
    <w:rsid w:val="000D126E"/>
    <w:rsid w:val="000E1132"/>
    <w:rsid w:val="000E1CB6"/>
    <w:rsid w:val="000F0EBD"/>
    <w:rsid w:val="000F16E0"/>
    <w:rsid w:val="000F1868"/>
    <w:rsid w:val="000F414F"/>
    <w:rsid w:val="000F56E9"/>
    <w:rsid w:val="000F5C1C"/>
    <w:rsid w:val="000F6AE3"/>
    <w:rsid w:val="00102051"/>
    <w:rsid w:val="001048E7"/>
    <w:rsid w:val="00104E20"/>
    <w:rsid w:val="0010662B"/>
    <w:rsid w:val="00113CEC"/>
    <w:rsid w:val="00121913"/>
    <w:rsid w:val="00123954"/>
    <w:rsid w:val="00127AE7"/>
    <w:rsid w:val="00131389"/>
    <w:rsid w:val="001317E9"/>
    <w:rsid w:val="00133875"/>
    <w:rsid w:val="001346CE"/>
    <w:rsid w:val="00134DE1"/>
    <w:rsid w:val="001400A2"/>
    <w:rsid w:val="00140B21"/>
    <w:rsid w:val="001460F2"/>
    <w:rsid w:val="00146641"/>
    <w:rsid w:val="00153C94"/>
    <w:rsid w:val="00154F22"/>
    <w:rsid w:val="00161D79"/>
    <w:rsid w:val="00164426"/>
    <w:rsid w:val="00165455"/>
    <w:rsid w:val="00165B9E"/>
    <w:rsid w:val="001673CF"/>
    <w:rsid w:val="001674E8"/>
    <w:rsid w:val="0017198D"/>
    <w:rsid w:val="001823E2"/>
    <w:rsid w:val="00183AE5"/>
    <w:rsid w:val="00184903"/>
    <w:rsid w:val="001861A2"/>
    <w:rsid w:val="00187013"/>
    <w:rsid w:val="001913C6"/>
    <w:rsid w:val="00191F1D"/>
    <w:rsid w:val="00193128"/>
    <w:rsid w:val="00194773"/>
    <w:rsid w:val="001A20CB"/>
    <w:rsid w:val="001B3174"/>
    <w:rsid w:val="001B591B"/>
    <w:rsid w:val="001B712A"/>
    <w:rsid w:val="001B7B07"/>
    <w:rsid w:val="001C0780"/>
    <w:rsid w:val="001C7DAD"/>
    <w:rsid w:val="001D065C"/>
    <w:rsid w:val="001D074B"/>
    <w:rsid w:val="001D7BD3"/>
    <w:rsid w:val="001E17EF"/>
    <w:rsid w:val="001E55EB"/>
    <w:rsid w:val="001E6D39"/>
    <w:rsid w:val="001F4DE3"/>
    <w:rsid w:val="001F7C93"/>
    <w:rsid w:val="0020186F"/>
    <w:rsid w:val="00202944"/>
    <w:rsid w:val="002110E4"/>
    <w:rsid w:val="00215988"/>
    <w:rsid w:val="0022116A"/>
    <w:rsid w:val="00221953"/>
    <w:rsid w:val="00225FDC"/>
    <w:rsid w:val="0022697C"/>
    <w:rsid w:val="002334B2"/>
    <w:rsid w:val="00240F75"/>
    <w:rsid w:val="002414F3"/>
    <w:rsid w:val="0024151A"/>
    <w:rsid w:val="002417D1"/>
    <w:rsid w:val="002454AA"/>
    <w:rsid w:val="00245F5E"/>
    <w:rsid w:val="00250799"/>
    <w:rsid w:val="002510FA"/>
    <w:rsid w:val="00255AA7"/>
    <w:rsid w:val="00256E0C"/>
    <w:rsid w:val="00261DAB"/>
    <w:rsid w:val="00263BF4"/>
    <w:rsid w:val="00271533"/>
    <w:rsid w:val="00275B9B"/>
    <w:rsid w:val="002841D2"/>
    <w:rsid w:val="0028570D"/>
    <w:rsid w:val="00286848"/>
    <w:rsid w:val="00286E86"/>
    <w:rsid w:val="002924BF"/>
    <w:rsid w:val="00295025"/>
    <w:rsid w:val="002979E3"/>
    <w:rsid w:val="002A16A2"/>
    <w:rsid w:val="002A1F35"/>
    <w:rsid w:val="002A2474"/>
    <w:rsid w:val="002A28A3"/>
    <w:rsid w:val="002A32BB"/>
    <w:rsid w:val="002B1ED5"/>
    <w:rsid w:val="002B3230"/>
    <w:rsid w:val="002B52E9"/>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DE9"/>
    <w:rsid w:val="002F29F9"/>
    <w:rsid w:val="002F3EC9"/>
    <w:rsid w:val="002F46EF"/>
    <w:rsid w:val="002F65D0"/>
    <w:rsid w:val="002F733C"/>
    <w:rsid w:val="003029B9"/>
    <w:rsid w:val="003031F2"/>
    <w:rsid w:val="003111DD"/>
    <w:rsid w:val="00312EFA"/>
    <w:rsid w:val="003143EA"/>
    <w:rsid w:val="003150FD"/>
    <w:rsid w:val="003171F1"/>
    <w:rsid w:val="0032114F"/>
    <w:rsid w:val="003218DF"/>
    <w:rsid w:val="00321B90"/>
    <w:rsid w:val="00321F2A"/>
    <w:rsid w:val="00324255"/>
    <w:rsid w:val="00325F44"/>
    <w:rsid w:val="00330F27"/>
    <w:rsid w:val="003363AE"/>
    <w:rsid w:val="003376FC"/>
    <w:rsid w:val="003424B2"/>
    <w:rsid w:val="003444F3"/>
    <w:rsid w:val="00350C91"/>
    <w:rsid w:val="00351DD8"/>
    <w:rsid w:val="00354556"/>
    <w:rsid w:val="003572F4"/>
    <w:rsid w:val="00361E57"/>
    <w:rsid w:val="0036470B"/>
    <w:rsid w:val="00366C73"/>
    <w:rsid w:val="003727B0"/>
    <w:rsid w:val="00372863"/>
    <w:rsid w:val="00372D72"/>
    <w:rsid w:val="00377887"/>
    <w:rsid w:val="003811FE"/>
    <w:rsid w:val="00382660"/>
    <w:rsid w:val="00384361"/>
    <w:rsid w:val="00384F48"/>
    <w:rsid w:val="003850DB"/>
    <w:rsid w:val="00386BD3"/>
    <w:rsid w:val="00392625"/>
    <w:rsid w:val="00396435"/>
    <w:rsid w:val="00396B78"/>
    <w:rsid w:val="003A01A4"/>
    <w:rsid w:val="003A76F2"/>
    <w:rsid w:val="003B09F1"/>
    <w:rsid w:val="003B17F0"/>
    <w:rsid w:val="003B2870"/>
    <w:rsid w:val="003B693D"/>
    <w:rsid w:val="003C1C6D"/>
    <w:rsid w:val="003C336A"/>
    <w:rsid w:val="003C39E2"/>
    <w:rsid w:val="003C4172"/>
    <w:rsid w:val="003D1F4D"/>
    <w:rsid w:val="003D20BA"/>
    <w:rsid w:val="003D3021"/>
    <w:rsid w:val="003D488D"/>
    <w:rsid w:val="003D5E25"/>
    <w:rsid w:val="003E3AB0"/>
    <w:rsid w:val="003E7268"/>
    <w:rsid w:val="003F1794"/>
    <w:rsid w:val="003F1E3A"/>
    <w:rsid w:val="003F6DA5"/>
    <w:rsid w:val="003F7AFF"/>
    <w:rsid w:val="00400FAB"/>
    <w:rsid w:val="0040425D"/>
    <w:rsid w:val="00410052"/>
    <w:rsid w:val="004126CE"/>
    <w:rsid w:val="004128A7"/>
    <w:rsid w:val="00421A68"/>
    <w:rsid w:val="00423494"/>
    <w:rsid w:val="00433428"/>
    <w:rsid w:val="00434499"/>
    <w:rsid w:val="0043613D"/>
    <w:rsid w:val="00446660"/>
    <w:rsid w:val="004506D4"/>
    <w:rsid w:val="00463593"/>
    <w:rsid w:val="00464344"/>
    <w:rsid w:val="0046510B"/>
    <w:rsid w:val="00475F71"/>
    <w:rsid w:val="00477A69"/>
    <w:rsid w:val="004818A2"/>
    <w:rsid w:val="004826B8"/>
    <w:rsid w:val="004908F0"/>
    <w:rsid w:val="00496219"/>
    <w:rsid w:val="004A290E"/>
    <w:rsid w:val="004A4D89"/>
    <w:rsid w:val="004A7D27"/>
    <w:rsid w:val="004B0E04"/>
    <w:rsid w:val="004B1271"/>
    <w:rsid w:val="004B2006"/>
    <w:rsid w:val="004B54E0"/>
    <w:rsid w:val="004C032A"/>
    <w:rsid w:val="004C0E54"/>
    <w:rsid w:val="004D75AE"/>
    <w:rsid w:val="004E2EEA"/>
    <w:rsid w:val="004F666C"/>
    <w:rsid w:val="00501D50"/>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50FC4"/>
    <w:rsid w:val="00552067"/>
    <w:rsid w:val="0055307E"/>
    <w:rsid w:val="00554B58"/>
    <w:rsid w:val="0055577F"/>
    <w:rsid w:val="00556CC7"/>
    <w:rsid w:val="00561EF9"/>
    <w:rsid w:val="00562FC6"/>
    <w:rsid w:val="0056619E"/>
    <w:rsid w:val="00566EB5"/>
    <w:rsid w:val="00567AC7"/>
    <w:rsid w:val="00567DD6"/>
    <w:rsid w:val="00571ACE"/>
    <w:rsid w:val="00574288"/>
    <w:rsid w:val="00574851"/>
    <w:rsid w:val="00584636"/>
    <w:rsid w:val="0058639A"/>
    <w:rsid w:val="005906FC"/>
    <w:rsid w:val="0059136F"/>
    <w:rsid w:val="00593795"/>
    <w:rsid w:val="005A28CB"/>
    <w:rsid w:val="005B58F7"/>
    <w:rsid w:val="005C1198"/>
    <w:rsid w:val="005C2563"/>
    <w:rsid w:val="005C3ECD"/>
    <w:rsid w:val="005D20FF"/>
    <w:rsid w:val="005D3B4F"/>
    <w:rsid w:val="005D6422"/>
    <w:rsid w:val="005F56B4"/>
    <w:rsid w:val="006030EC"/>
    <w:rsid w:val="00605C11"/>
    <w:rsid w:val="00606AC0"/>
    <w:rsid w:val="00610015"/>
    <w:rsid w:val="0061747C"/>
    <w:rsid w:val="00617E7E"/>
    <w:rsid w:val="00625133"/>
    <w:rsid w:val="006303B5"/>
    <w:rsid w:val="0063264E"/>
    <w:rsid w:val="00634E39"/>
    <w:rsid w:val="00637BA0"/>
    <w:rsid w:val="006408BE"/>
    <w:rsid w:val="006460E0"/>
    <w:rsid w:val="00650A4D"/>
    <w:rsid w:val="00651BB1"/>
    <w:rsid w:val="0065757B"/>
    <w:rsid w:val="00663992"/>
    <w:rsid w:val="00664C9D"/>
    <w:rsid w:val="0067165E"/>
    <w:rsid w:val="00674CB9"/>
    <w:rsid w:val="0067733A"/>
    <w:rsid w:val="0067798E"/>
    <w:rsid w:val="00677BEE"/>
    <w:rsid w:val="006837EB"/>
    <w:rsid w:val="00685FEC"/>
    <w:rsid w:val="00690705"/>
    <w:rsid w:val="00692134"/>
    <w:rsid w:val="0069608B"/>
    <w:rsid w:val="00696122"/>
    <w:rsid w:val="00697223"/>
    <w:rsid w:val="0069762D"/>
    <w:rsid w:val="006A285A"/>
    <w:rsid w:val="006A6E43"/>
    <w:rsid w:val="006B3075"/>
    <w:rsid w:val="006B4EE0"/>
    <w:rsid w:val="006C2E52"/>
    <w:rsid w:val="006C73DA"/>
    <w:rsid w:val="006D12B8"/>
    <w:rsid w:val="006D3661"/>
    <w:rsid w:val="006E242C"/>
    <w:rsid w:val="006E286A"/>
    <w:rsid w:val="006E5146"/>
    <w:rsid w:val="006E6CEF"/>
    <w:rsid w:val="006F3593"/>
    <w:rsid w:val="006F7CE2"/>
    <w:rsid w:val="00700534"/>
    <w:rsid w:val="00700D46"/>
    <w:rsid w:val="0071170B"/>
    <w:rsid w:val="00712A83"/>
    <w:rsid w:val="00731096"/>
    <w:rsid w:val="00731D2B"/>
    <w:rsid w:val="007346F5"/>
    <w:rsid w:val="00736778"/>
    <w:rsid w:val="007426BA"/>
    <w:rsid w:val="007467E7"/>
    <w:rsid w:val="007476F5"/>
    <w:rsid w:val="0075416B"/>
    <w:rsid w:val="00761F83"/>
    <w:rsid w:val="00763FB5"/>
    <w:rsid w:val="00767C76"/>
    <w:rsid w:val="00767EC8"/>
    <w:rsid w:val="00770E50"/>
    <w:rsid w:val="00771D4C"/>
    <w:rsid w:val="00771E67"/>
    <w:rsid w:val="00772DFD"/>
    <w:rsid w:val="0077425D"/>
    <w:rsid w:val="00777294"/>
    <w:rsid w:val="007812CD"/>
    <w:rsid w:val="00785F36"/>
    <w:rsid w:val="00787B89"/>
    <w:rsid w:val="00793912"/>
    <w:rsid w:val="0079391D"/>
    <w:rsid w:val="007A1A6C"/>
    <w:rsid w:val="007A35F2"/>
    <w:rsid w:val="007A3D89"/>
    <w:rsid w:val="007A4F51"/>
    <w:rsid w:val="007A4FDA"/>
    <w:rsid w:val="007A5677"/>
    <w:rsid w:val="007A7C8A"/>
    <w:rsid w:val="007C7109"/>
    <w:rsid w:val="007D363C"/>
    <w:rsid w:val="007D3D81"/>
    <w:rsid w:val="007E0CC4"/>
    <w:rsid w:val="007E29A9"/>
    <w:rsid w:val="007E40EB"/>
    <w:rsid w:val="007F041D"/>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6A0D"/>
    <w:rsid w:val="00847A1F"/>
    <w:rsid w:val="00856140"/>
    <w:rsid w:val="00864033"/>
    <w:rsid w:val="008700C4"/>
    <w:rsid w:val="00871430"/>
    <w:rsid w:val="00876957"/>
    <w:rsid w:val="00883514"/>
    <w:rsid w:val="00885FAC"/>
    <w:rsid w:val="0088761E"/>
    <w:rsid w:val="00890168"/>
    <w:rsid w:val="00891671"/>
    <w:rsid w:val="0089647C"/>
    <w:rsid w:val="00897AF7"/>
    <w:rsid w:val="008A2D7A"/>
    <w:rsid w:val="008A5966"/>
    <w:rsid w:val="008B1490"/>
    <w:rsid w:val="008B38CA"/>
    <w:rsid w:val="008B42FE"/>
    <w:rsid w:val="008B4F9F"/>
    <w:rsid w:val="008B5307"/>
    <w:rsid w:val="008C1919"/>
    <w:rsid w:val="008C1BB5"/>
    <w:rsid w:val="008C4084"/>
    <w:rsid w:val="008C63A4"/>
    <w:rsid w:val="008C7AFF"/>
    <w:rsid w:val="008D1AAB"/>
    <w:rsid w:val="008D1E57"/>
    <w:rsid w:val="008D2A81"/>
    <w:rsid w:val="008D4600"/>
    <w:rsid w:val="008D5CD5"/>
    <w:rsid w:val="008D6EA0"/>
    <w:rsid w:val="008D7F6D"/>
    <w:rsid w:val="008E00E8"/>
    <w:rsid w:val="008E2658"/>
    <w:rsid w:val="008E3DE2"/>
    <w:rsid w:val="008E4A51"/>
    <w:rsid w:val="008E4F48"/>
    <w:rsid w:val="008E53A7"/>
    <w:rsid w:val="008E7165"/>
    <w:rsid w:val="008F46AA"/>
    <w:rsid w:val="008F5887"/>
    <w:rsid w:val="008F715D"/>
    <w:rsid w:val="0090107E"/>
    <w:rsid w:val="009143C3"/>
    <w:rsid w:val="00917C55"/>
    <w:rsid w:val="009239F0"/>
    <w:rsid w:val="00924766"/>
    <w:rsid w:val="009278A2"/>
    <w:rsid w:val="00931A88"/>
    <w:rsid w:val="00933E9E"/>
    <w:rsid w:val="00934641"/>
    <w:rsid w:val="009346B9"/>
    <w:rsid w:val="00934B68"/>
    <w:rsid w:val="00935D16"/>
    <w:rsid w:val="009432BA"/>
    <w:rsid w:val="00943CEB"/>
    <w:rsid w:val="00955C6B"/>
    <w:rsid w:val="00957E35"/>
    <w:rsid w:val="009609C1"/>
    <w:rsid w:val="009619F2"/>
    <w:rsid w:val="00962B18"/>
    <w:rsid w:val="009678D5"/>
    <w:rsid w:val="00972E8B"/>
    <w:rsid w:val="009749C6"/>
    <w:rsid w:val="0098057E"/>
    <w:rsid w:val="00981F73"/>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53BD"/>
    <w:rsid w:val="009C7215"/>
    <w:rsid w:val="009C7468"/>
    <w:rsid w:val="009D1521"/>
    <w:rsid w:val="009D31FF"/>
    <w:rsid w:val="009D4BF1"/>
    <w:rsid w:val="009D535D"/>
    <w:rsid w:val="009D6413"/>
    <w:rsid w:val="009D7602"/>
    <w:rsid w:val="009E2917"/>
    <w:rsid w:val="009E3C73"/>
    <w:rsid w:val="009E4E84"/>
    <w:rsid w:val="009F39BE"/>
    <w:rsid w:val="009F5E9A"/>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5AF1"/>
    <w:rsid w:val="00A27DB5"/>
    <w:rsid w:val="00A3002A"/>
    <w:rsid w:val="00A30524"/>
    <w:rsid w:val="00A37F6F"/>
    <w:rsid w:val="00A4521D"/>
    <w:rsid w:val="00A51216"/>
    <w:rsid w:val="00A54704"/>
    <w:rsid w:val="00A5523D"/>
    <w:rsid w:val="00A555A3"/>
    <w:rsid w:val="00A613E3"/>
    <w:rsid w:val="00A63830"/>
    <w:rsid w:val="00A72107"/>
    <w:rsid w:val="00A7338F"/>
    <w:rsid w:val="00A75293"/>
    <w:rsid w:val="00A8433B"/>
    <w:rsid w:val="00A939D3"/>
    <w:rsid w:val="00A941CA"/>
    <w:rsid w:val="00AA124C"/>
    <w:rsid w:val="00AA14E2"/>
    <w:rsid w:val="00AA6B25"/>
    <w:rsid w:val="00AB3961"/>
    <w:rsid w:val="00AC2FB4"/>
    <w:rsid w:val="00AC6E81"/>
    <w:rsid w:val="00AD1C3D"/>
    <w:rsid w:val="00AD5DF0"/>
    <w:rsid w:val="00AD6004"/>
    <w:rsid w:val="00AE1185"/>
    <w:rsid w:val="00AE1652"/>
    <w:rsid w:val="00AE3692"/>
    <w:rsid w:val="00AE7EE2"/>
    <w:rsid w:val="00B02F65"/>
    <w:rsid w:val="00B077BC"/>
    <w:rsid w:val="00B15F1E"/>
    <w:rsid w:val="00B210D7"/>
    <w:rsid w:val="00B21930"/>
    <w:rsid w:val="00B21D82"/>
    <w:rsid w:val="00B23E48"/>
    <w:rsid w:val="00B242B2"/>
    <w:rsid w:val="00B30044"/>
    <w:rsid w:val="00B342FA"/>
    <w:rsid w:val="00B36C24"/>
    <w:rsid w:val="00B40045"/>
    <w:rsid w:val="00B4090F"/>
    <w:rsid w:val="00B40C6F"/>
    <w:rsid w:val="00B411B3"/>
    <w:rsid w:val="00B4306E"/>
    <w:rsid w:val="00B46C78"/>
    <w:rsid w:val="00B46D09"/>
    <w:rsid w:val="00B555B4"/>
    <w:rsid w:val="00B55BF9"/>
    <w:rsid w:val="00B6016D"/>
    <w:rsid w:val="00B60C9B"/>
    <w:rsid w:val="00B61854"/>
    <w:rsid w:val="00B65088"/>
    <w:rsid w:val="00B672E0"/>
    <w:rsid w:val="00B71889"/>
    <w:rsid w:val="00B72718"/>
    <w:rsid w:val="00B72CAE"/>
    <w:rsid w:val="00B7710C"/>
    <w:rsid w:val="00B771C4"/>
    <w:rsid w:val="00B901DD"/>
    <w:rsid w:val="00B9122B"/>
    <w:rsid w:val="00B95516"/>
    <w:rsid w:val="00B95B9D"/>
    <w:rsid w:val="00B97335"/>
    <w:rsid w:val="00B974D4"/>
    <w:rsid w:val="00BA2CFA"/>
    <w:rsid w:val="00BA52D8"/>
    <w:rsid w:val="00BA55A0"/>
    <w:rsid w:val="00BA79F8"/>
    <w:rsid w:val="00BB2947"/>
    <w:rsid w:val="00BB428E"/>
    <w:rsid w:val="00BC3B4E"/>
    <w:rsid w:val="00BC57C7"/>
    <w:rsid w:val="00BD224E"/>
    <w:rsid w:val="00BD3236"/>
    <w:rsid w:val="00BD659A"/>
    <w:rsid w:val="00BE061F"/>
    <w:rsid w:val="00BE0747"/>
    <w:rsid w:val="00BE2CF8"/>
    <w:rsid w:val="00BE49BD"/>
    <w:rsid w:val="00BE7B09"/>
    <w:rsid w:val="00BF0956"/>
    <w:rsid w:val="00BF7A91"/>
    <w:rsid w:val="00C07243"/>
    <w:rsid w:val="00C14078"/>
    <w:rsid w:val="00C146D1"/>
    <w:rsid w:val="00C16203"/>
    <w:rsid w:val="00C2031A"/>
    <w:rsid w:val="00C206F1"/>
    <w:rsid w:val="00C21E53"/>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7024B"/>
    <w:rsid w:val="00C70ED4"/>
    <w:rsid w:val="00C73D3E"/>
    <w:rsid w:val="00C769AB"/>
    <w:rsid w:val="00C7760D"/>
    <w:rsid w:val="00C8210E"/>
    <w:rsid w:val="00C86276"/>
    <w:rsid w:val="00C90FFD"/>
    <w:rsid w:val="00C912BC"/>
    <w:rsid w:val="00C912EC"/>
    <w:rsid w:val="00C97FFB"/>
    <w:rsid w:val="00CA1824"/>
    <w:rsid w:val="00CA7164"/>
    <w:rsid w:val="00CA75A7"/>
    <w:rsid w:val="00CB386E"/>
    <w:rsid w:val="00CB42D6"/>
    <w:rsid w:val="00CB52B2"/>
    <w:rsid w:val="00CC0F88"/>
    <w:rsid w:val="00CC6FB6"/>
    <w:rsid w:val="00CC7990"/>
    <w:rsid w:val="00CD4201"/>
    <w:rsid w:val="00CD5289"/>
    <w:rsid w:val="00CD52A9"/>
    <w:rsid w:val="00CE0096"/>
    <w:rsid w:val="00CE304A"/>
    <w:rsid w:val="00CE55F9"/>
    <w:rsid w:val="00CF051D"/>
    <w:rsid w:val="00CF0CD3"/>
    <w:rsid w:val="00CF3135"/>
    <w:rsid w:val="00CF4077"/>
    <w:rsid w:val="00CF7C5B"/>
    <w:rsid w:val="00D20DD2"/>
    <w:rsid w:val="00D23202"/>
    <w:rsid w:val="00D272DC"/>
    <w:rsid w:val="00D36B68"/>
    <w:rsid w:val="00D40C39"/>
    <w:rsid w:val="00D4353D"/>
    <w:rsid w:val="00D43E00"/>
    <w:rsid w:val="00D43E45"/>
    <w:rsid w:val="00D472EC"/>
    <w:rsid w:val="00D5488D"/>
    <w:rsid w:val="00D60A3C"/>
    <w:rsid w:val="00D61F68"/>
    <w:rsid w:val="00D65F90"/>
    <w:rsid w:val="00D72D1F"/>
    <w:rsid w:val="00D74D1C"/>
    <w:rsid w:val="00D76153"/>
    <w:rsid w:val="00D765C1"/>
    <w:rsid w:val="00D80577"/>
    <w:rsid w:val="00D81178"/>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5BD8"/>
    <w:rsid w:val="00DD7148"/>
    <w:rsid w:val="00DE2496"/>
    <w:rsid w:val="00DE43D3"/>
    <w:rsid w:val="00DE633A"/>
    <w:rsid w:val="00DF05CE"/>
    <w:rsid w:val="00DF2D92"/>
    <w:rsid w:val="00E0734A"/>
    <w:rsid w:val="00E07548"/>
    <w:rsid w:val="00E12834"/>
    <w:rsid w:val="00E12D77"/>
    <w:rsid w:val="00E16D51"/>
    <w:rsid w:val="00E220D4"/>
    <w:rsid w:val="00E23B95"/>
    <w:rsid w:val="00E303C3"/>
    <w:rsid w:val="00E30B4A"/>
    <w:rsid w:val="00E36CBF"/>
    <w:rsid w:val="00E401C2"/>
    <w:rsid w:val="00E41F0E"/>
    <w:rsid w:val="00E42AF0"/>
    <w:rsid w:val="00E42C46"/>
    <w:rsid w:val="00E44339"/>
    <w:rsid w:val="00E45CE5"/>
    <w:rsid w:val="00E46E89"/>
    <w:rsid w:val="00E47FED"/>
    <w:rsid w:val="00E51A47"/>
    <w:rsid w:val="00E53C0F"/>
    <w:rsid w:val="00E628A4"/>
    <w:rsid w:val="00E62E7C"/>
    <w:rsid w:val="00E73231"/>
    <w:rsid w:val="00E74DB6"/>
    <w:rsid w:val="00E74F2A"/>
    <w:rsid w:val="00E75280"/>
    <w:rsid w:val="00E802D1"/>
    <w:rsid w:val="00E80F57"/>
    <w:rsid w:val="00E81CCB"/>
    <w:rsid w:val="00E82B75"/>
    <w:rsid w:val="00E83739"/>
    <w:rsid w:val="00E84B96"/>
    <w:rsid w:val="00E85585"/>
    <w:rsid w:val="00E85AB1"/>
    <w:rsid w:val="00E87061"/>
    <w:rsid w:val="00E90D53"/>
    <w:rsid w:val="00E94934"/>
    <w:rsid w:val="00E95497"/>
    <w:rsid w:val="00EB1EFA"/>
    <w:rsid w:val="00EB2B56"/>
    <w:rsid w:val="00EB2EE4"/>
    <w:rsid w:val="00EB79C7"/>
    <w:rsid w:val="00EC22BE"/>
    <w:rsid w:val="00EC62BA"/>
    <w:rsid w:val="00EE14FB"/>
    <w:rsid w:val="00EE591C"/>
    <w:rsid w:val="00EE717B"/>
    <w:rsid w:val="00EF1885"/>
    <w:rsid w:val="00EF364C"/>
    <w:rsid w:val="00EF767B"/>
    <w:rsid w:val="00F01E81"/>
    <w:rsid w:val="00F11E96"/>
    <w:rsid w:val="00F12DB8"/>
    <w:rsid w:val="00F17A68"/>
    <w:rsid w:val="00F201F2"/>
    <w:rsid w:val="00F34E22"/>
    <w:rsid w:val="00F36239"/>
    <w:rsid w:val="00F364B7"/>
    <w:rsid w:val="00F40DE4"/>
    <w:rsid w:val="00F4134F"/>
    <w:rsid w:val="00F436DE"/>
    <w:rsid w:val="00F4401C"/>
    <w:rsid w:val="00F52382"/>
    <w:rsid w:val="00F53633"/>
    <w:rsid w:val="00F54635"/>
    <w:rsid w:val="00F603FE"/>
    <w:rsid w:val="00F60842"/>
    <w:rsid w:val="00F6647C"/>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35FF"/>
    <w:rsid w:val="00FB4199"/>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4"/>
    <w:rPr>
      <w:rFonts w:ascii="Times New Roman" w:eastAsia="Times New Roman" w:hAnsi="Times New Roman"/>
      <w:sz w:val="20"/>
      <w:szCs w:val="20"/>
    </w:rPr>
  </w:style>
  <w:style w:type="paragraph" w:styleId="Heading1">
    <w:name w:val="heading 1"/>
    <w:basedOn w:val="Normal"/>
    <w:next w:val="Normal"/>
    <w:link w:val="Heading1Char"/>
    <w:uiPriority w:val="99"/>
    <w:qFormat/>
    <w:rsid w:val="00550FC4"/>
    <w:pPr>
      <w:keepNext/>
      <w:ind w:left="33"/>
      <w:outlineLvl w:val="0"/>
    </w:pPr>
    <w:rPr>
      <w:b/>
      <w:bCs/>
      <w:color w:val="00007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0FC4"/>
    <w:rPr>
      <w:rFonts w:ascii="Times New Roman" w:hAnsi="Times New Roman" w:cs="Times New Roman"/>
      <w:b/>
      <w:bCs/>
      <w:color w:val="000070"/>
      <w:sz w:val="28"/>
      <w:szCs w:val="28"/>
      <w:lang w:eastAsia="lv-LV"/>
    </w:rPr>
  </w:style>
  <w:style w:type="paragraph" w:styleId="Header">
    <w:name w:val="header"/>
    <w:basedOn w:val="Normal"/>
    <w:link w:val="HeaderChar"/>
    <w:uiPriority w:val="99"/>
    <w:rsid w:val="00550FC4"/>
    <w:pPr>
      <w:tabs>
        <w:tab w:val="center" w:pos="4153"/>
        <w:tab w:val="right" w:pos="8306"/>
      </w:tabs>
    </w:pPr>
  </w:style>
  <w:style w:type="character" w:customStyle="1" w:styleId="HeaderChar">
    <w:name w:val="Header Char"/>
    <w:basedOn w:val="DefaultParagraphFont"/>
    <w:link w:val="Header"/>
    <w:uiPriority w:val="99"/>
    <w:locked/>
    <w:rsid w:val="00550FC4"/>
    <w:rPr>
      <w:rFonts w:ascii="Times New Roman" w:hAnsi="Times New Roman" w:cs="Times New Roman"/>
      <w:sz w:val="20"/>
      <w:szCs w:val="20"/>
      <w:lang w:eastAsia="lv-LV"/>
    </w:rPr>
  </w:style>
  <w:style w:type="paragraph" w:styleId="Footer">
    <w:name w:val="footer"/>
    <w:basedOn w:val="Normal"/>
    <w:link w:val="FooterChar"/>
    <w:uiPriority w:val="99"/>
    <w:rsid w:val="00550FC4"/>
    <w:pPr>
      <w:tabs>
        <w:tab w:val="center" w:pos="4153"/>
        <w:tab w:val="right" w:pos="8306"/>
      </w:tabs>
    </w:pPr>
  </w:style>
  <w:style w:type="character" w:customStyle="1" w:styleId="FooterChar">
    <w:name w:val="Footer Char"/>
    <w:basedOn w:val="DefaultParagraphFont"/>
    <w:link w:val="Footer"/>
    <w:uiPriority w:val="99"/>
    <w:locked/>
    <w:rsid w:val="00550FC4"/>
    <w:rPr>
      <w:rFonts w:ascii="Times New Roman" w:hAnsi="Times New Roman" w:cs="Times New Roman"/>
      <w:sz w:val="20"/>
      <w:szCs w:val="20"/>
      <w:lang w:eastAsia="lv-LV"/>
    </w:rPr>
  </w:style>
  <w:style w:type="character" w:styleId="Hyperlink">
    <w:name w:val="Hyperlink"/>
    <w:basedOn w:val="DefaultParagraphFont"/>
    <w:uiPriority w:val="99"/>
    <w:rsid w:val="00550FC4"/>
    <w:rPr>
      <w:rFonts w:cs="Times New Roman"/>
      <w:color w:val="0000FF"/>
      <w:u w:val="single"/>
    </w:rPr>
  </w:style>
  <w:style w:type="character" w:styleId="PageNumber">
    <w:name w:val="page number"/>
    <w:basedOn w:val="DefaultParagraphFont"/>
    <w:uiPriority w:val="99"/>
    <w:rsid w:val="00550FC4"/>
    <w:rPr>
      <w:rFonts w:cs="Times New Roman"/>
    </w:rPr>
  </w:style>
  <w:style w:type="paragraph" w:styleId="ListParagraph">
    <w:name w:val="List Paragraph"/>
    <w:basedOn w:val="Normal"/>
    <w:uiPriority w:val="34"/>
    <w:qFormat/>
    <w:rsid w:val="00550FC4"/>
    <w:pPr>
      <w:ind w:left="720"/>
      <w:contextualSpacing/>
    </w:pPr>
    <w:rPr>
      <w:sz w:val="24"/>
      <w:szCs w:val="24"/>
    </w:rPr>
  </w:style>
  <w:style w:type="character" w:customStyle="1" w:styleId="iubsearchhihglite">
    <w:name w:val="iubsearch_hihglite"/>
    <w:basedOn w:val="DefaultParagraphFont"/>
    <w:rsid w:val="00550FC4"/>
    <w:rPr>
      <w:rFonts w:cs="Times New Roman"/>
    </w:rPr>
  </w:style>
  <w:style w:type="character" w:customStyle="1" w:styleId="apple-converted-space">
    <w:name w:val="apple-converted-space"/>
    <w:basedOn w:val="DefaultParagraphFont"/>
    <w:rsid w:val="00550FC4"/>
    <w:rPr>
      <w:rFonts w:cs="Times New Roman"/>
    </w:rPr>
  </w:style>
  <w:style w:type="character" w:customStyle="1" w:styleId="apple-style-span">
    <w:name w:val="apple-style-span"/>
    <w:basedOn w:val="DefaultParagraphFont"/>
    <w:rsid w:val="00550FC4"/>
    <w:rPr>
      <w:rFonts w:cs="Times New Roman"/>
    </w:rPr>
  </w:style>
  <w:style w:type="paragraph" w:styleId="NoSpacing">
    <w:name w:val="No Spacing"/>
    <w:uiPriority w:val="1"/>
    <w:qFormat/>
    <w:rsid w:val="00550FC4"/>
    <w:rPr>
      <w:rFonts w:ascii="Times New Roman" w:eastAsia="Times New Roman" w:hAnsi="Times New Roman"/>
      <w:sz w:val="20"/>
      <w:szCs w:val="20"/>
    </w:rPr>
  </w:style>
  <w:style w:type="paragraph" w:styleId="BalloonText">
    <w:name w:val="Balloon Text"/>
    <w:basedOn w:val="Normal"/>
    <w:link w:val="BalloonTextChar"/>
    <w:uiPriority w:val="99"/>
    <w:semiHidden/>
    <w:rsid w:val="00550F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0FC4"/>
    <w:rPr>
      <w:rFonts w:ascii="Tahoma" w:hAnsi="Tahoma" w:cs="Tahoma"/>
      <w:sz w:val="16"/>
      <w:szCs w:val="16"/>
      <w:lang w:eastAsia="lv-LV"/>
    </w:rPr>
  </w:style>
  <w:style w:type="paragraph" w:customStyle="1" w:styleId="Sarakstarindkopa1">
    <w:name w:val="Saraksta rindkopa1"/>
    <w:basedOn w:val="Normal"/>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Normal"/>
    <w:uiPriority w:val="99"/>
    <w:qFormat/>
    <w:rsid w:val="00D8492C"/>
    <w:pPr>
      <w:widowControl w:val="0"/>
      <w:autoSpaceDE w:val="0"/>
      <w:autoSpaceDN w:val="0"/>
      <w:adjustRightInd w:val="0"/>
      <w:ind w:left="720"/>
    </w:pPr>
    <w:rPr>
      <w:lang w:val="en-US" w:eastAsia="en-US"/>
    </w:rPr>
  </w:style>
  <w:style w:type="table" w:styleId="TableGrid">
    <w:name w:val="Table Grid"/>
    <w:basedOn w:val="TableNormal"/>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470B"/>
    <w:pPr>
      <w:spacing w:before="100" w:beforeAutospacing="1" w:after="100" w:afterAutospacing="1"/>
    </w:pPr>
    <w:rPr>
      <w:sz w:val="24"/>
      <w:szCs w:val="24"/>
    </w:rPr>
  </w:style>
  <w:style w:type="paragraph" w:styleId="BodyText">
    <w:name w:val="Body Text"/>
    <w:basedOn w:val="Normal"/>
    <w:link w:val="BodyTextChar"/>
    <w:rsid w:val="0036470B"/>
    <w:pPr>
      <w:jc w:val="both"/>
    </w:pPr>
    <w:rPr>
      <w:sz w:val="24"/>
      <w:szCs w:val="24"/>
      <w:lang w:eastAsia="en-US"/>
    </w:rPr>
  </w:style>
  <w:style w:type="character" w:customStyle="1" w:styleId="BodyTextChar">
    <w:name w:val="Body Text Char"/>
    <w:basedOn w:val="DefaultParagraphFont"/>
    <w:link w:val="BodyText"/>
    <w:rsid w:val="0036470B"/>
    <w:rPr>
      <w:rFonts w:ascii="Times New Roman" w:eastAsia="Times New Roman" w:hAnsi="Times New Roman"/>
      <w:sz w:val="24"/>
      <w:szCs w:val="24"/>
      <w:lang w:eastAsia="en-US"/>
    </w:rPr>
  </w:style>
  <w:style w:type="paragraph" w:styleId="PlainText">
    <w:name w:val="Plain Text"/>
    <w:basedOn w:val="Normal"/>
    <w:link w:val="PlainTextChar"/>
    <w:unhideWhenUsed/>
    <w:rsid w:val="009B498F"/>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9B498F"/>
    <w:rPr>
      <w:rFonts w:ascii="Consolas" w:hAnsi="Consolas"/>
      <w:sz w:val="21"/>
      <w:szCs w:val="21"/>
      <w:lang w:eastAsia="en-US"/>
    </w:rPr>
  </w:style>
  <w:style w:type="character" w:styleId="Emphasis">
    <w:name w:val="Emphasis"/>
    <w:basedOn w:val="DefaultParagraphFont"/>
    <w:qFormat/>
    <w:locked/>
    <w:rsid w:val="0060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4"/>
    <w:rPr>
      <w:rFonts w:ascii="Times New Roman" w:eastAsia="Times New Roman" w:hAnsi="Times New Roman"/>
      <w:sz w:val="20"/>
      <w:szCs w:val="20"/>
    </w:rPr>
  </w:style>
  <w:style w:type="paragraph" w:styleId="Heading1">
    <w:name w:val="heading 1"/>
    <w:basedOn w:val="Normal"/>
    <w:next w:val="Normal"/>
    <w:link w:val="Heading1Char"/>
    <w:uiPriority w:val="99"/>
    <w:qFormat/>
    <w:rsid w:val="00550FC4"/>
    <w:pPr>
      <w:keepNext/>
      <w:ind w:left="33"/>
      <w:outlineLvl w:val="0"/>
    </w:pPr>
    <w:rPr>
      <w:b/>
      <w:bCs/>
      <w:color w:val="00007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0FC4"/>
    <w:rPr>
      <w:rFonts w:ascii="Times New Roman" w:hAnsi="Times New Roman" w:cs="Times New Roman"/>
      <w:b/>
      <w:bCs/>
      <w:color w:val="000070"/>
      <w:sz w:val="28"/>
      <w:szCs w:val="28"/>
      <w:lang w:eastAsia="lv-LV"/>
    </w:rPr>
  </w:style>
  <w:style w:type="paragraph" w:styleId="Header">
    <w:name w:val="header"/>
    <w:basedOn w:val="Normal"/>
    <w:link w:val="HeaderChar"/>
    <w:uiPriority w:val="99"/>
    <w:rsid w:val="00550FC4"/>
    <w:pPr>
      <w:tabs>
        <w:tab w:val="center" w:pos="4153"/>
        <w:tab w:val="right" w:pos="8306"/>
      </w:tabs>
    </w:pPr>
  </w:style>
  <w:style w:type="character" w:customStyle="1" w:styleId="HeaderChar">
    <w:name w:val="Header Char"/>
    <w:basedOn w:val="DefaultParagraphFont"/>
    <w:link w:val="Header"/>
    <w:uiPriority w:val="99"/>
    <w:locked/>
    <w:rsid w:val="00550FC4"/>
    <w:rPr>
      <w:rFonts w:ascii="Times New Roman" w:hAnsi="Times New Roman" w:cs="Times New Roman"/>
      <w:sz w:val="20"/>
      <w:szCs w:val="20"/>
      <w:lang w:eastAsia="lv-LV"/>
    </w:rPr>
  </w:style>
  <w:style w:type="paragraph" w:styleId="Footer">
    <w:name w:val="footer"/>
    <w:basedOn w:val="Normal"/>
    <w:link w:val="FooterChar"/>
    <w:uiPriority w:val="99"/>
    <w:rsid w:val="00550FC4"/>
    <w:pPr>
      <w:tabs>
        <w:tab w:val="center" w:pos="4153"/>
        <w:tab w:val="right" w:pos="8306"/>
      </w:tabs>
    </w:pPr>
  </w:style>
  <w:style w:type="character" w:customStyle="1" w:styleId="FooterChar">
    <w:name w:val="Footer Char"/>
    <w:basedOn w:val="DefaultParagraphFont"/>
    <w:link w:val="Footer"/>
    <w:uiPriority w:val="99"/>
    <w:locked/>
    <w:rsid w:val="00550FC4"/>
    <w:rPr>
      <w:rFonts w:ascii="Times New Roman" w:hAnsi="Times New Roman" w:cs="Times New Roman"/>
      <w:sz w:val="20"/>
      <w:szCs w:val="20"/>
      <w:lang w:eastAsia="lv-LV"/>
    </w:rPr>
  </w:style>
  <w:style w:type="character" w:styleId="Hyperlink">
    <w:name w:val="Hyperlink"/>
    <w:basedOn w:val="DefaultParagraphFont"/>
    <w:uiPriority w:val="99"/>
    <w:rsid w:val="00550FC4"/>
    <w:rPr>
      <w:rFonts w:cs="Times New Roman"/>
      <w:color w:val="0000FF"/>
      <w:u w:val="single"/>
    </w:rPr>
  </w:style>
  <w:style w:type="character" w:styleId="PageNumber">
    <w:name w:val="page number"/>
    <w:basedOn w:val="DefaultParagraphFont"/>
    <w:uiPriority w:val="99"/>
    <w:rsid w:val="00550FC4"/>
    <w:rPr>
      <w:rFonts w:cs="Times New Roman"/>
    </w:rPr>
  </w:style>
  <w:style w:type="paragraph" w:styleId="ListParagraph">
    <w:name w:val="List Paragraph"/>
    <w:basedOn w:val="Normal"/>
    <w:uiPriority w:val="34"/>
    <w:qFormat/>
    <w:rsid w:val="00550FC4"/>
    <w:pPr>
      <w:ind w:left="720"/>
      <w:contextualSpacing/>
    </w:pPr>
    <w:rPr>
      <w:sz w:val="24"/>
      <w:szCs w:val="24"/>
    </w:rPr>
  </w:style>
  <w:style w:type="character" w:customStyle="1" w:styleId="iubsearchhihglite">
    <w:name w:val="iubsearch_hihglite"/>
    <w:basedOn w:val="DefaultParagraphFont"/>
    <w:rsid w:val="00550FC4"/>
    <w:rPr>
      <w:rFonts w:cs="Times New Roman"/>
    </w:rPr>
  </w:style>
  <w:style w:type="character" w:customStyle="1" w:styleId="apple-converted-space">
    <w:name w:val="apple-converted-space"/>
    <w:basedOn w:val="DefaultParagraphFont"/>
    <w:rsid w:val="00550FC4"/>
    <w:rPr>
      <w:rFonts w:cs="Times New Roman"/>
    </w:rPr>
  </w:style>
  <w:style w:type="character" w:customStyle="1" w:styleId="apple-style-span">
    <w:name w:val="apple-style-span"/>
    <w:basedOn w:val="DefaultParagraphFont"/>
    <w:rsid w:val="00550FC4"/>
    <w:rPr>
      <w:rFonts w:cs="Times New Roman"/>
    </w:rPr>
  </w:style>
  <w:style w:type="paragraph" w:styleId="NoSpacing">
    <w:name w:val="No Spacing"/>
    <w:uiPriority w:val="1"/>
    <w:qFormat/>
    <w:rsid w:val="00550FC4"/>
    <w:rPr>
      <w:rFonts w:ascii="Times New Roman" w:eastAsia="Times New Roman" w:hAnsi="Times New Roman"/>
      <w:sz w:val="20"/>
      <w:szCs w:val="20"/>
    </w:rPr>
  </w:style>
  <w:style w:type="paragraph" w:styleId="BalloonText">
    <w:name w:val="Balloon Text"/>
    <w:basedOn w:val="Normal"/>
    <w:link w:val="BalloonTextChar"/>
    <w:uiPriority w:val="99"/>
    <w:semiHidden/>
    <w:rsid w:val="00550F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0FC4"/>
    <w:rPr>
      <w:rFonts w:ascii="Tahoma" w:hAnsi="Tahoma" w:cs="Tahoma"/>
      <w:sz w:val="16"/>
      <w:szCs w:val="16"/>
      <w:lang w:eastAsia="lv-LV"/>
    </w:rPr>
  </w:style>
  <w:style w:type="paragraph" w:customStyle="1" w:styleId="Sarakstarindkopa1">
    <w:name w:val="Saraksta rindkopa1"/>
    <w:basedOn w:val="Normal"/>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Normal"/>
    <w:uiPriority w:val="99"/>
    <w:qFormat/>
    <w:rsid w:val="00D8492C"/>
    <w:pPr>
      <w:widowControl w:val="0"/>
      <w:autoSpaceDE w:val="0"/>
      <w:autoSpaceDN w:val="0"/>
      <w:adjustRightInd w:val="0"/>
      <w:ind w:left="720"/>
    </w:pPr>
    <w:rPr>
      <w:lang w:val="en-US" w:eastAsia="en-US"/>
    </w:rPr>
  </w:style>
  <w:style w:type="table" w:styleId="TableGrid">
    <w:name w:val="Table Grid"/>
    <w:basedOn w:val="TableNormal"/>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470B"/>
    <w:pPr>
      <w:spacing w:before="100" w:beforeAutospacing="1" w:after="100" w:afterAutospacing="1"/>
    </w:pPr>
    <w:rPr>
      <w:sz w:val="24"/>
      <w:szCs w:val="24"/>
    </w:rPr>
  </w:style>
  <w:style w:type="paragraph" w:styleId="BodyText">
    <w:name w:val="Body Text"/>
    <w:basedOn w:val="Normal"/>
    <w:link w:val="BodyTextChar"/>
    <w:rsid w:val="0036470B"/>
    <w:pPr>
      <w:jc w:val="both"/>
    </w:pPr>
    <w:rPr>
      <w:sz w:val="24"/>
      <w:szCs w:val="24"/>
      <w:lang w:eastAsia="en-US"/>
    </w:rPr>
  </w:style>
  <w:style w:type="character" w:customStyle="1" w:styleId="BodyTextChar">
    <w:name w:val="Body Text Char"/>
    <w:basedOn w:val="DefaultParagraphFont"/>
    <w:link w:val="BodyText"/>
    <w:rsid w:val="0036470B"/>
    <w:rPr>
      <w:rFonts w:ascii="Times New Roman" w:eastAsia="Times New Roman" w:hAnsi="Times New Roman"/>
      <w:sz w:val="24"/>
      <w:szCs w:val="24"/>
      <w:lang w:eastAsia="en-US"/>
    </w:rPr>
  </w:style>
  <w:style w:type="paragraph" w:styleId="PlainText">
    <w:name w:val="Plain Text"/>
    <w:basedOn w:val="Normal"/>
    <w:link w:val="PlainTextChar"/>
    <w:unhideWhenUsed/>
    <w:rsid w:val="009B498F"/>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9B498F"/>
    <w:rPr>
      <w:rFonts w:ascii="Consolas" w:hAnsi="Consolas"/>
      <w:sz w:val="21"/>
      <w:szCs w:val="21"/>
      <w:lang w:eastAsia="en-US"/>
    </w:rPr>
  </w:style>
  <w:style w:type="character" w:styleId="Emphasis">
    <w:name w:val="Emphasis"/>
    <w:basedOn w:val="DefaultParagraphFont"/>
    <w:qFormat/>
    <w:locked/>
    <w:rsid w:val="0060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rgery@park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F1F8-BBBC-479D-A00C-11BB52DD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5370</Words>
  <Characters>30615</Characters>
  <Application>Microsoft Office Word</Application>
  <DocSecurity>0</DocSecurity>
  <Lines>255</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TOS</Company>
  <LinksUpToDate>false</LinksUpToDate>
  <CharactersWithSpaces>35914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Jurijs Tolokoncevs</cp:lastModifiedBy>
  <cp:revision>2</cp:revision>
  <cp:lastPrinted>2016-11-10T07:13:00Z</cp:lastPrinted>
  <dcterms:created xsi:type="dcterms:W3CDTF">2017-01-20T13:02:00Z</dcterms:created>
  <dcterms:modified xsi:type="dcterms:W3CDTF">2017-01-20T13:02:00Z</dcterms:modified>
</cp:coreProperties>
</file>