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E82FBB" w:rsidP="0004430F">
            <w:pPr>
              <w:pStyle w:val="Galven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594721692"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rsidR="00C90FFD" w:rsidRPr="00377887" w:rsidRDefault="00C90FFD" w:rsidP="0004430F">
            <w:pPr>
              <w:pStyle w:val="Galvene"/>
            </w:pPr>
          </w:p>
        </w:tc>
        <w:tc>
          <w:tcPr>
            <w:tcW w:w="1288" w:type="dxa"/>
            <w:tcBorders>
              <w:bottom w:val="dashDotStroked" w:sz="24" w:space="0" w:color="000080"/>
            </w:tcBorders>
            <w:tcMar>
              <w:left w:w="0" w:type="dxa"/>
              <w:right w:w="0" w:type="dxa"/>
            </w:tcMar>
          </w:tcPr>
          <w:p w:rsidR="00C90FFD" w:rsidRPr="00377887" w:rsidRDefault="00C90FFD" w:rsidP="0004430F">
            <w:pPr>
              <w:pStyle w:val="Galvene"/>
            </w:pPr>
          </w:p>
          <w:p w:rsidR="00C90FFD" w:rsidRPr="00377887" w:rsidRDefault="00C90FFD" w:rsidP="0004430F">
            <w:pPr>
              <w:pStyle w:val="Galvene"/>
            </w:pPr>
          </w:p>
        </w:tc>
      </w:tr>
    </w:tbl>
    <w:p w:rsidR="0020186F" w:rsidRPr="00F275CA" w:rsidRDefault="0020186F" w:rsidP="0020186F">
      <w:pPr>
        <w:spacing w:line="360" w:lineRule="auto"/>
        <w:ind w:firstLine="720"/>
        <w:jc w:val="center"/>
        <w:rPr>
          <w:b/>
          <w:sz w:val="16"/>
          <w:szCs w:val="16"/>
        </w:rPr>
      </w:pPr>
    </w:p>
    <w:p w:rsidR="006E6CEF" w:rsidRPr="00F275CA" w:rsidRDefault="00526A5C" w:rsidP="00DC72F8">
      <w:pPr>
        <w:spacing w:line="360" w:lineRule="auto"/>
        <w:ind w:firstLine="720"/>
        <w:jc w:val="center"/>
        <w:rPr>
          <w:b/>
          <w:sz w:val="22"/>
          <w:szCs w:val="22"/>
        </w:rPr>
      </w:pPr>
      <w:r w:rsidRPr="00F275CA">
        <w:rPr>
          <w:b/>
          <w:sz w:val="22"/>
          <w:szCs w:val="22"/>
        </w:rPr>
        <w:t>VADĪBAS ZIŅOJUMS PAR VSIA „TRAUMATOLOĢIJAS UN ORTOPĒDIJAS SLIMNĪCA” REZULA</w:t>
      </w:r>
      <w:r w:rsidR="00717992" w:rsidRPr="00F275CA">
        <w:rPr>
          <w:b/>
          <w:sz w:val="22"/>
          <w:szCs w:val="22"/>
        </w:rPr>
        <w:t>TATĪVAJIEM RĀDĪTĀJIEM 2018</w:t>
      </w:r>
      <w:r w:rsidR="00506187" w:rsidRPr="00F275CA">
        <w:rPr>
          <w:b/>
          <w:sz w:val="22"/>
          <w:szCs w:val="22"/>
        </w:rPr>
        <w:t xml:space="preserve">.GADA JANVĀRĪ </w:t>
      </w:r>
      <w:r w:rsidR="009D1521" w:rsidRPr="00F275CA">
        <w:rPr>
          <w:b/>
          <w:sz w:val="22"/>
          <w:szCs w:val="22"/>
        </w:rPr>
        <w:t>–</w:t>
      </w:r>
      <w:r w:rsidR="00506187" w:rsidRPr="00F275CA">
        <w:rPr>
          <w:b/>
          <w:sz w:val="22"/>
          <w:szCs w:val="22"/>
        </w:rPr>
        <w:t xml:space="preserve"> </w:t>
      </w:r>
      <w:r w:rsidR="007B06DB" w:rsidRPr="00F275CA">
        <w:rPr>
          <w:b/>
          <w:sz w:val="22"/>
          <w:szCs w:val="22"/>
        </w:rPr>
        <w:t>JŪNIJĀ</w:t>
      </w:r>
    </w:p>
    <w:p w:rsidR="004128A7" w:rsidRPr="00F275CA" w:rsidRDefault="004128A7" w:rsidP="0059136F">
      <w:pPr>
        <w:spacing w:line="360" w:lineRule="auto"/>
        <w:ind w:firstLine="720"/>
        <w:jc w:val="both"/>
        <w:rPr>
          <w:sz w:val="22"/>
          <w:szCs w:val="22"/>
        </w:rPr>
      </w:pPr>
    </w:p>
    <w:p w:rsidR="00885FAC" w:rsidRPr="00F275CA" w:rsidRDefault="00F275CA" w:rsidP="00885FAC">
      <w:pPr>
        <w:spacing w:line="360" w:lineRule="auto"/>
        <w:ind w:firstLine="720"/>
        <w:jc w:val="both"/>
        <w:rPr>
          <w:sz w:val="22"/>
          <w:szCs w:val="22"/>
        </w:rPr>
      </w:pPr>
      <w:r>
        <w:rPr>
          <w:sz w:val="22"/>
          <w:szCs w:val="22"/>
        </w:rPr>
        <w:t>Apkopojot finanš</w:t>
      </w:r>
      <w:r w:rsidR="00885FAC" w:rsidRPr="00F275CA">
        <w:rPr>
          <w:sz w:val="22"/>
          <w:szCs w:val="22"/>
        </w:rPr>
        <w:t>u un statistikas dat</w:t>
      </w:r>
      <w:r w:rsidR="00DE01C0" w:rsidRPr="00F275CA">
        <w:rPr>
          <w:sz w:val="22"/>
          <w:szCs w:val="22"/>
        </w:rPr>
        <w:t xml:space="preserve">us </w:t>
      </w:r>
      <w:r w:rsidR="00717992" w:rsidRPr="00F275CA">
        <w:rPr>
          <w:sz w:val="22"/>
          <w:szCs w:val="22"/>
        </w:rPr>
        <w:t xml:space="preserve"> par 2018</w:t>
      </w:r>
      <w:r w:rsidR="007A19C5" w:rsidRPr="00F275CA">
        <w:rPr>
          <w:sz w:val="22"/>
          <w:szCs w:val="22"/>
        </w:rPr>
        <w:t xml:space="preserve">.gada janvāra - </w:t>
      </w:r>
      <w:r w:rsidR="007B06DB" w:rsidRPr="00F275CA">
        <w:rPr>
          <w:sz w:val="22"/>
          <w:szCs w:val="22"/>
        </w:rPr>
        <w:t>jūnija</w:t>
      </w:r>
      <w:r w:rsidR="00885FAC" w:rsidRPr="00F275CA">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F275CA">
        <w:rPr>
          <w:sz w:val="22"/>
          <w:szCs w:val="22"/>
        </w:rPr>
        <w:t xml:space="preserve">ā un  plānveida palīdzība </w:t>
      </w:r>
      <w:r w:rsidR="00350C91" w:rsidRPr="00F275CA">
        <w:rPr>
          <w:sz w:val="22"/>
          <w:szCs w:val="22"/>
        </w:rPr>
        <w:t>vadoties no savstarpēji noslēgtajā līgumā</w:t>
      </w:r>
      <w:r w:rsidR="00C70ED4" w:rsidRPr="00F275CA">
        <w:rPr>
          <w:sz w:val="22"/>
          <w:szCs w:val="22"/>
        </w:rPr>
        <w:t xml:space="preserve"> ar Nacionālo veselības dienestu</w:t>
      </w:r>
      <w:r w:rsidR="00350C91" w:rsidRPr="00F275CA">
        <w:rPr>
          <w:sz w:val="22"/>
          <w:szCs w:val="22"/>
        </w:rPr>
        <w:t xml:space="preserve"> noteiktajiem apjomiem</w:t>
      </w:r>
      <w:r w:rsidR="00885FAC" w:rsidRPr="00F275CA">
        <w:rPr>
          <w:sz w:val="22"/>
          <w:szCs w:val="22"/>
        </w:rPr>
        <w:t xml:space="preserve">. </w:t>
      </w:r>
    </w:p>
    <w:p w:rsidR="00885FAC" w:rsidRPr="00E82FBB" w:rsidRDefault="00885FAC" w:rsidP="000C7D34">
      <w:pPr>
        <w:spacing w:line="360" w:lineRule="auto"/>
        <w:ind w:firstLine="720"/>
        <w:jc w:val="both"/>
        <w:rPr>
          <w:sz w:val="22"/>
          <w:szCs w:val="22"/>
        </w:rPr>
      </w:pPr>
      <w:r w:rsidRPr="00E82FBB">
        <w:rPr>
          <w:sz w:val="22"/>
          <w:szCs w:val="22"/>
        </w:rPr>
        <w:t>Kop</w:t>
      </w:r>
      <w:r w:rsidR="00717992" w:rsidRPr="00E82FBB">
        <w:rPr>
          <w:sz w:val="22"/>
          <w:szCs w:val="22"/>
        </w:rPr>
        <w:t>ējie budžeta tāmes ieņēmumi 2018</w:t>
      </w:r>
      <w:r w:rsidRPr="00E82FBB">
        <w:rPr>
          <w:sz w:val="22"/>
          <w:szCs w:val="22"/>
        </w:rPr>
        <w:t xml:space="preserve">.gada janvārī – </w:t>
      </w:r>
      <w:r w:rsidR="007B06DB" w:rsidRPr="00E82FBB">
        <w:rPr>
          <w:sz w:val="22"/>
          <w:szCs w:val="22"/>
        </w:rPr>
        <w:t>jūnijā</w:t>
      </w:r>
      <w:r w:rsidR="000C7D34" w:rsidRPr="00E82FBB">
        <w:rPr>
          <w:sz w:val="22"/>
          <w:szCs w:val="22"/>
        </w:rPr>
        <w:t xml:space="preserve"> ir izp</w:t>
      </w:r>
      <w:r w:rsidR="00950986" w:rsidRPr="00E82FBB">
        <w:rPr>
          <w:sz w:val="22"/>
          <w:szCs w:val="22"/>
        </w:rPr>
        <w:t>ildī</w:t>
      </w:r>
      <w:r w:rsidR="00E82FBB" w:rsidRPr="00E82FBB">
        <w:rPr>
          <w:sz w:val="22"/>
          <w:szCs w:val="22"/>
        </w:rPr>
        <w:t>ti 8 295 548</w:t>
      </w:r>
      <w:r w:rsidRPr="00E82FBB">
        <w:rPr>
          <w:sz w:val="22"/>
          <w:szCs w:val="22"/>
        </w:rPr>
        <w:t xml:space="preserve"> EUR apmērā, kas ir par </w:t>
      </w:r>
      <w:r w:rsidR="00E82FBB" w:rsidRPr="00E82FBB">
        <w:rPr>
          <w:sz w:val="22"/>
          <w:szCs w:val="22"/>
        </w:rPr>
        <w:t xml:space="preserve">144 188 </w:t>
      </w:r>
      <w:r w:rsidRPr="00E82FBB">
        <w:rPr>
          <w:sz w:val="22"/>
          <w:szCs w:val="22"/>
        </w:rPr>
        <w:t xml:space="preserve">EUR </w:t>
      </w:r>
      <w:r w:rsidR="000C7D34" w:rsidRPr="00E82FBB">
        <w:rPr>
          <w:sz w:val="22"/>
          <w:szCs w:val="22"/>
        </w:rPr>
        <w:t>vairāk</w:t>
      </w:r>
      <w:r w:rsidRPr="00E82FBB">
        <w:rPr>
          <w:sz w:val="22"/>
          <w:szCs w:val="22"/>
        </w:rPr>
        <w:t xml:space="preserve"> kā sākotnēji plānots, savukārt, kopējie izdevumi sastāda </w:t>
      </w:r>
      <w:r w:rsidR="00E82FBB" w:rsidRPr="00E82FBB">
        <w:rPr>
          <w:sz w:val="22"/>
          <w:szCs w:val="22"/>
        </w:rPr>
        <w:t>8 381 553</w:t>
      </w:r>
      <w:r w:rsidR="00950986" w:rsidRPr="00E82FBB">
        <w:rPr>
          <w:sz w:val="22"/>
          <w:szCs w:val="22"/>
        </w:rPr>
        <w:t xml:space="preserve"> EUR  un ir par  </w:t>
      </w:r>
      <w:r w:rsidR="00E82FBB" w:rsidRPr="00E82FBB">
        <w:rPr>
          <w:sz w:val="22"/>
          <w:szCs w:val="22"/>
        </w:rPr>
        <w:t>296 157</w:t>
      </w:r>
      <w:r w:rsidRPr="00E82FBB">
        <w:rPr>
          <w:sz w:val="22"/>
          <w:szCs w:val="22"/>
        </w:rPr>
        <w:t xml:space="preserve"> EUR vairāk kā sākotn</w:t>
      </w:r>
      <w:r w:rsidR="000C7D34" w:rsidRPr="00E82FBB">
        <w:rPr>
          <w:sz w:val="22"/>
          <w:szCs w:val="22"/>
        </w:rPr>
        <w:t xml:space="preserve">ēji plānots. Slimnīcas </w:t>
      </w:r>
      <w:r w:rsidR="00E82FBB" w:rsidRPr="00E82FBB">
        <w:rPr>
          <w:sz w:val="22"/>
          <w:szCs w:val="22"/>
        </w:rPr>
        <w:t>zaudējumi</w:t>
      </w:r>
      <w:r w:rsidR="00717992" w:rsidRPr="00E82FBB">
        <w:rPr>
          <w:sz w:val="22"/>
          <w:szCs w:val="22"/>
        </w:rPr>
        <w:t xml:space="preserve"> 2018</w:t>
      </w:r>
      <w:r w:rsidRPr="00E82FBB">
        <w:rPr>
          <w:sz w:val="22"/>
          <w:szCs w:val="22"/>
        </w:rPr>
        <w:t>.gada janvār</w:t>
      </w:r>
      <w:r w:rsidR="00745C9F" w:rsidRPr="00E82FBB">
        <w:rPr>
          <w:sz w:val="22"/>
          <w:szCs w:val="22"/>
        </w:rPr>
        <w:t xml:space="preserve">ī – </w:t>
      </w:r>
      <w:r w:rsidR="007B06DB" w:rsidRPr="00E82FBB">
        <w:rPr>
          <w:sz w:val="22"/>
          <w:szCs w:val="22"/>
        </w:rPr>
        <w:t>jūnijā</w:t>
      </w:r>
      <w:r w:rsidR="00950986" w:rsidRPr="00E82FBB">
        <w:rPr>
          <w:sz w:val="22"/>
          <w:szCs w:val="22"/>
        </w:rPr>
        <w:t xml:space="preserve"> ir  </w:t>
      </w:r>
      <w:r w:rsidR="00E82FBB" w:rsidRPr="00E82FBB">
        <w:rPr>
          <w:sz w:val="22"/>
          <w:szCs w:val="22"/>
        </w:rPr>
        <w:t>86 005 EUR</w:t>
      </w:r>
      <w:r w:rsidR="000C7D34" w:rsidRPr="00E82FBB">
        <w:rPr>
          <w:sz w:val="22"/>
          <w:szCs w:val="22"/>
        </w:rPr>
        <w:t>, kas ir p</w:t>
      </w:r>
      <w:r w:rsidR="00950986" w:rsidRPr="00E82FBB">
        <w:rPr>
          <w:sz w:val="22"/>
          <w:szCs w:val="22"/>
        </w:rPr>
        <w:t xml:space="preserve">ar </w:t>
      </w:r>
      <w:r w:rsidR="00E82FBB" w:rsidRPr="00E82FBB">
        <w:rPr>
          <w:sz w:val="22"/>
          <w:szCs w:val="22"/>
        </w:rPr>
        <w:t>151 969</w:t>
      </w:r>
      <w:r w:rsidR="000C7D34" w:rsidRPr="00E82FBB">
        <w:rPr>
          <w:sz w:val="22"/>
          <w:szCs w:val="22"/>
        </w:rPr>
        <w:t xml:space="preserve"> EUR</w:t>
      </w:r>
      <w:r w:rsidR="00950986" w:rsidRPr="00E82FBB">
        <w:rPr>
          <w:sz w:val="22"/>
          <w:szCs w:val="22"/>
        </w:rPr>
        <w:t xml:space="preserve"> </w:t>
      </w:r>
      <w:r w:rsidR="00E82FBB" w:rsidRPr="00E82FBB">
        <w:rPr>
          <w:sz w:val="22"/>
          <w:szCs w:val="22"/>
        </w:rPr>
        <w:t>mazāk</w:t>
      </w:r>
      <w:r w:rsidR="000C7D34" w:rsidRPr="00E82FBB">
        <w:rPr>
          <w:sz w:val="22"/>
          <w:szCs w:val="22"/>
        </w:rPr>
        <w:t xml:space="preserve"> kā</w:t>
      </w:r>
      <w:bookmarkStart w:id="0" w:name="_GoBack"/>
      <w:bookmarkEnd w:id="0"/>
      <w:r w:rsidR="000C7D34" w:rsidRPr="00E82FBB">
        <w:rPr>
          <w:sz w:val="22"/>
          <w:szCs w:val="22"/>
        </w:rPr>
        <w:t xml:space="preserve"> sākotnēji plānots.</w:t>
      </w:r>
    </w:p>
    <w:p w:rsidR="00191F1D" w:rsidRPr="00F275CA" w:rsidRDefault="00885FAC" w:rsidP="008D2A81">
      <w:pPr>
        <w:pStyle w:val="Sarakstarindkopa"/>
        <w:spacing w:line="360" w:lineRule="auto"/>
        <w:ind w:left="0" w:firstLine="720"/>
        <w:jc w:val="both"/>
        <w:rPr>
          <w:sz w:val="22"/>
          <w:szCs w:val="22"/>
        </w:rPr>
      </w:pPr>
      <w:r w:rsidRPr="00F275CA">
        <w:rPr>
          <w:sz w:val="22"/>
          <w:szCs w:val="22"/>
        </w:rPr>
        <w:t>Lai gūtu priekšst</w:t>
      </w:r>
      <w:r w:rsidR="00717992" w:rsidRPr="00F275CA">
        <w:rPr>
          <w:sz w:val="22"/>
          <w:szCs w:val="22"/>
        </w:rPr>
        <w:t>atu par 2018</w:t>
      </w:r>
      <w:r w:rsidR="007A19C5" w:rsidRPr="00F275CA">
        <w:rPr>
          <w:sz w:val="22"/>
          <w:szCs w:val="22"/>
        </w:rPr>
        <w:t xml:space="preserve">.gada janvārī – </w:t>
      </w:r>
      <w:r w:rsidR="007B06DB" w:rsidRPr="00F275CA">
        <w:rPr>
          <w:sz w:val="22"/>
          <w:szCs w:val="22"/>
        </w:rPr>
        <w:t>jūnija</w:t>
      </w:r>
      <w:r w:rsidRPr="00F275CA">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4A6B64" w:rsidRPr="002169FD" w:rsidRDefault="004A6B64" w:rsidP="00E81CCB">
      <w:pPr>
        <w:jc w:val="both"/>
        <w:rPr>
          <w:b/>
          <w:bCs/>
          <w:u w:val="single"/>
        </w:rPr>
      </w:pPr>
    </w:p>
    <w:p w:rsidR="00E81CCB" w:rsidRPr="002169FD" w:rsidRDefault="00E81CCB" w:rsidP="00E81CCB">
      <w:pPr>
        <w:jc w:val="both"/>
        <w:rPr>
          <w:b/>
          <w:i/>
          <w:noProof/>
        </w:rPr>
      </w:pPr>
      <w:r w:rsidRPr="002169FD">
        <w:rPr>
          <w:b/>
          <w:bCs/>
          <w:u w:val="single"/>
        </w:rPr>
        <w:t>Stacionāro pacientu skaits sadalījumā: maksas pacienti un valsts apmaksājamie pacienti</w:t>
      </w:r>
    </w:p>
    <w:p w:rsidR="007476F5" w:rsidRPr="002169FD" w:rsidRDefault="007476F5" w:rsidP="007476F5">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1C77E3" w:rsidRPr="002169FD"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2169FD" w:rsidRDefault="007476F5" w:rsidP="00984AD4">
            <w:pPr>
              <w:jc w:val="center"/>
            </w:pPr>
            <w:r w:rsidRPr="002169FD">
              <w:t>Periods</w:t>
            </w:r>
          </w:p>
          <w:p w:rsidR="007476F5" w:rsidRPr="002169FD" w:rsidRDefault="007476F5" w:rsidP="00984AD4">
            <w:pPr>
              <w:jc w:val="center"/>
            </w:pPr>
            <w:r w:rsidRPr="002169FD">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rsidR="007476F5" w:rsidRPr="002169FD" w:rsidRDefault="007476F5" w:rsidP="00984AD4">
            <w:pPr>
              <w:jc w:val="center"/>
            </w:pPr>
            <w:r w:rsidRPr="002169FD">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rsidR="007476F5" w:rsidRPr="002169FD" w:rsidRDefault="007476F5" w:rsidP="00984AD4">
            <w:pPr>
              <w:jc w:val="center"/>
            </w:pPr>
            <w:r w:rsidRPr="002169FD">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2169FD" w:rsidRDefault="007476F5" w:rsidP="00984AD4">
            <w:pPr>
              <w:jc w:val="center"/>
            </w:pPr>
            <w:r w:rsidRPr="002169FD">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2169FD" w:rsidRDefault="007476F5" w:rsidP="00984AD4">
            <w:pPr>
              <w:jc w:val="center"/>
            </w:pPr>
            <w:r w:rsidRPr="002169FD">
              <w:t>Maksas pacientu īpatsvars no kopā ārstētajiem (%)</w:t>
            </w:r>
          </w:p>
        </w:tc>
      </w:tr>
      <w:tr w:rsidR="00032100" w:rsidRPr="002169FD"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rsidR="00032100" w:rsidRPr="002169FD" w:rsidRDefault="00032100" w:rsidP="00032100">
            <w:pPr>
              <w:jc w:val="center"/>
            </w:pPr>
            <w:r w:rsidRPr="002169FD">
              <w:t xml:space="preserve">2018. gada janvārī - </w:t>
            </w:r>
            <w:r>
              <w:t>jūnijā</w:t>
            </w:r>
          </w:p>
        </w:tc>
        <w:tc>
          <w:tcPr>
            <w:tcW w:w="1588" w:type="dxa"/>
            <w:tcBorders>
              <w:top w:val="nil"/>
              <w:left w:val="nil"/>
              <w:bottom w:val="single" w:sz="4" w:space="0" w:color="auto"/>
              <w:right w:val="single" w:sz="4" w:space="0" w:color="auto"/>
            </w:tcBorders>
            <w:noWrap/>
            <w:vAlign w:val="center"/>
          </w:tcPr>
          <w:p w:rsidR="00032100" w:rsidRPr="002169FD" w:rsidRDefault="00032100" w:rsidP="00032100">
            <w:pPr>
              <w:jc w:val="center"/>
            </w:pPr>
            <w:r>
              <w:t>3 366</w:t>
            </w:r>
          </w:p>
        </w:tc>
        <w:tc>
          <w:tcPr>
            <w:tcW w:w="1102" w:type="dxa"/>
            <w:tcBorders>
              <w:top w:val="nil"/>
              <w:left w:val="nil"/>
              <w:bottom w:val="single" w:sz="4" w:space="0" w:color="auto"/>
              <w:right w:val="single" w:sz="4" w:space="0" w:color="auto"/>
            </w:tcBorders>
            <w:noWrap/>
            <w:vAlign w:val="center"/>
          </w:tcPr>
          <w:p w:rsidR="00032100" w:rsidRPr="002169FD" w:rsidRDefault="00032100" w:rsidP="00032100">
            <w:pPr>
              <w:jc w:val="center"/>
            </w:pPr>
            <w:r>
              <w:t>376</w:t>
            </w:r>
          </w:p>
        </w:tc>
        <w:tc>
          <w:tcPr>
            <w:tcW w:w="1275" w:type="dxa"/>
            <w:tcBorders>
              <w:top w:val="nil"/>
              <w:left w:val="nil"/>
              <w:bottom w:val="single" w:sz="4" w:space="0" w:color="auto"/>
              <w:right w:val="single" w:sz="4" w:space="0" w:color="auto"/>
            </w:tcBorders>
            <w:noWrap/>
            <w:vAlign w:val="center"/>
          </w:tcPr>
          <w:p w:rsidR="00032100" w:rsidRPr="002169FD" w:rsidRDefault="00032100" w:rsidP="00032100">
            <w:pPr>
              <w:jc w:val="center"/>
            </w:pPr>
            <w:r>
              <w:t>3 742</w:t>
            </w:r>
          </w:p>
        </w:tc>
        <w:tc>
          <w:tcPr>
            <w:tcW w:w="2414" w:type="dxa"/>
            <w:tcBorders>
              <w:top w:val="nil"/>
              <w:left w:val="nil"/>
              <w:bottom w:val="single" w:sz="4" w:space="0" w:color="auto"/>
              <w:right w:val="single" w:sz="4" w:space="0" w:color="auto"/>
            </w:tcBorders>
            <w:noWrap/>
            <w:vAlign w:val="center"/>
          </w:tcPr>
          <w:p w:rsidR="00032100" w:rsidRPr="002169FD" w:rsidRDefault="00032100" w:rsidP="00032100">
            <w:pPr>
              <w:jc w:val="center"/>
            </w:pPr>
            <w:r>
              <w:t>10.05</w:t>
            </w:r>
          </w:p>
        </w:tc>
      </w:tr>
    </w:tbl>
    <w:p w:rsidR="00E81CCB" w:rsidRPr="002169FD" w:rsidRDefault="00E81CCB" w:rsidP="00B02F65">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8F77CA" w:rsidRPr="002169FD" w:rsidTr="00E81CCB">
        <w:trPr>
          <w:gridAfter w:val="7"/>
          <w:wAfter w:w="8610" w:type="dxa"/>
          <w:trHeight w:val="81"/>
        </w:trPr>
        <w:tc>
          <w:tcPr>
            <w:tcW w:w="8330" w:type="dxa"/>
            <w:gridSpan w:val="5"/>
            <w:noWrap/>
            <w:vAlign w:val="bottom"/>
            <w:hideMark/>
          </w:tcPr>
          <w:p w:rsidR="004A6B64" w:rsidRPr="002169FD" w:rsidRDefault="004A6B64">
            <w:pPr>
              <w:jc w:val="both"/>
              <w:rPr>
                <w:b/>
                <w:bCs/>
                <w:u w:val="single"/>
              </w:rPr>
            </w:pPr>
          </w:p>
          <w:p w:rsidR="004A6B64" w:rsidRPr="002169FD" w:rsidRDefault="004A6B64">
            <w:pPr>
              <w:jc w:val="both"/>
              <w:rPr>
                <w:b/>
                <w:bCs/>
                <w:u w:val="single"/>
              </w:rPr>
            </w:pPr>
          </w:p>
          <w:p w:rsidR="00B02F65" w:rsidRPr="002169FD" w:rsidRDefault="00B02F65">
            <w:pPr>
              <w:jc w:val="both"/>
              <w:rPr>
                <w:b/>
                <w:bCs/>
                <w:u w:val="single"/>
              </w:rPr>
            </w:pPr>
            <w:r w:rsidRPr="002169FD">
              <w:rPr>
                <w:b/>
                <w:bCs/>
                <w:u w:val="single"/>
              </w:rPr>
              <w:t>Ambulatoro pacientu skaits sadalījumā: maksas pacienti un valsts apmaksājamie pacienti</w:t>
            </w:r>
          </w:p>
        </w:tc>
      </w:tr>
      <w:tr w:rsidR="001C77E3" w:rsidRPr="002169FD" w:rsidTr="00CA4EE0">
        <w:trPr>
          <w:gridAfter w:val="6"/>
          <w:wAfter w:w="8468" w:type="dxa"/>
          <w:trHeight w:val="100"/>
        </w:trPr>
        <w:tc>
          <w:tcPr>
            <w:tcW w:w="2234" w:type="dxa"/>
            <w:noWrap/>
            <w:vAlign w:val="bottom"/>
          </w:tcPr>
          <w:p w:rsidR="00B02F65" w:rsidRPr="002169FD" w:rsidRDefault="00B02F65"/>
        </w:tc>
        <w:tc>
          <w:tcPr>
            <w:tcW w:w="1594" w:type="dxa"/>
            <w:noWrap/>
            <w:vAlign w:val="bottom"/>
          </w:tcPr>
          <w:p w:rsidR="00B02F65" w:rsidRPr="002169FD" w:rsidRDefault="00B02F65"/>
        </w:tc>
        <w:tc>
          <w:tcPr>
            <w:tcW w:w="955" w:type="dxa"/>
            <w:noWrap/>
            <w:vAlign w:val="bottom"/>
          </w:tcPr>
          <w:p w:rsidR="00B02F65" w:rsidRPr="002169FD" w:rsidRDefault="00B02F65"/>
        </w:tc>
        <w:tc>
          <w:tcPr>
            <w:tcW w:w="1275" w:type="dxa"/>
            <w:noWrap/>
            <w:vAlign w:val="bottom"/>
          </w:tcPr>
          <w:p w:rsidR="00B02F65" w:rsidRPr="002169FD" w:rsidRDefault="00B02F65"/>
        </w:tc>
        <w:tc>
          <w:tcPr>
            <w:tcW w:w="2414" w:type="dxa"/>
            <w:gridSpan w:val="2"/>
            <w:noWrap/>
            <w:vAlign w:val="bottom"/>
          </w:tcPr>
          <w:p w:rsidR="00B02F65" w:rsidRPr="002169FD" w:rsidRDefault="00B02F65"/>
        </w:tc>
      </w:tr>
      <w:tr w:rsidR="002169FD" w:rsidRPr="002169FD"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2169FD" w:rsidRDefault="00B02F65">
            <w:pPr>
              <w:jc w:val="center"/>
            </w:pPr>
            <w:r w:rsidRPr="002169FD">
              <w:t>Periods</w:t>
            </w:r>
          </w:p>
          <w:p w:rsidR="00B02F65" w:rsidRPr="002169FD" w:rsidRDefault="00B02F65">
            <w:pPr>
              <w:jc w:val="center"/>
            </w:pPr>
            <w:r w:rsidRPr="002169FD">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rsidR="00B02F65" w:rsidRPr="002169FD" w:rsidRDefault="00B02F65">
            <w:pPr>
              <w:jc w:val="center"/>
            </w:pPr>
            <w:r w:rsidRPr="002169FD">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rsidR="00B02F65" w:rsidRPr="002169FD" w:rsidRDefault="00B02F65">
            <w:pPr>
              <w:jc w:val="center"/>
            </w:pPr>
            <w:r w:rsidRPr="002169FD">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2169FD" w:rsidRDefault="00B02F65">
            <w:pPr>
              <w:jc w:val="center"/>
            </w:pPr>
            <w:r w:rsidRPr="002169FD">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2169FD" w:rsidRDefault="00B02F65">
            <w:pPr>
              <w:jc w:val="center"/>
            </w:pPr>
            <w:r w:rsidRPr="002169FD">
              <w:t>Maksas pacientu īpatsvars no kopā ārstētajiem (%)</w:t>
            </w:r>
          </w:p>
        </w:tc>
      </w:tr>
      <w:tr w:rsidR="00032100" w:rsidRPr="002169FD"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rsidR="00032100" w:rsidRPr="002169FD" w:rsidRDefault="00032100" w:rsidP="00032100">
            <w:pPr>
              <w:jc w:val="center"/>
            </w:pPr>
            <w:r w:rsidRPr="002169FD">
              <w:t xml:space="preserve">2018. gada janvārī - </w:t>
            </w:r>
            <w:r>
              <w:t>jūnijā</w:t>
            </w:r>
          </w:p>
        </w:tc>
        <w:tc>
          <w:tcPr>
            <w:tcW w:w="1594" w:type="dxa"/>
            <w:tcBorders>
              <w:top w:val="nil"/>
              <w:left w:val="nil"/>
              <w:bottom w:val="single" w:sz="4" w:space="0" w:color="auto"/>
              <w:right w:val="single" w:sz="4" w:space="0" w:color="auto"/>
            </w:tcBorders>
            <w:noWrap/>
            <w:vAlign w:val="center"/>
          </w:tcPr>
          <w:p w:rsidR="00032100" w:rsidRPr="002169FD" w:rsidRDefault="00032100" w:rsidP="00032100">
            <w:pPr>
              <w:jc w:val="center"/>
            </w:pPr>
            <w:r>
              <w:t>45 863</w:t>
            </w:r>
          </w:p>
        </w:tc>
        <w:tc>
          <w:tcPr>
            <w:tcW w:w="955" w:type="dxa"/>
            <w:tcBorders>
              <w:top w:val="nil"/>
              <w:left w:val="nil"/>
              <w:bottom w:val="single" w:sz="4" w:space="0" w:color="auto"/>
              <w:right w:val="single" w:sz="4" w:space="0" w:color="auto"/>
            </w:tcBorders>
            <w:noWrap/>
            <w:vAlign w:val="center"/>
          </w:tcPr>
          <w:p w:rsidR="00032100" w:rsidRPr="002169FD" w:rsidRDefault="00032100" w:rsidP="00032100">
            <w:pPr>
              <w:jc w:val="center"/>
            </w:pPr>
            <w:r>
              <w:t>9 950</w:t>
            </w:r>
          </w:p>
        </w:tc>
        <w:tc>
          <w:tcPr>
            <w:tcW w:w="1275" w:type="dxa"/>
            <w:tcBorders>
              <w:top w:val="nil"/>
              <w:left w:val="nil"/>
              <w:bottom w:val="single" w:sz="4" w:space="0" w:color="auto"/>
              <w:right w:val="single" w:sz="4" w:space="0" w:color="auto"/>
            </w:tcBorders>
            <w:noWrap/>
            <w:vAlign w:val="center"/>
          </w:tcPr>
          <w:p w:rsidR="00032100" w:rsidRPr="002169FD" w:rsidRDefault="00032100" w:rsidP="00032100">
            <w:pPr>
              <w:jc w:val="center"/>
            </w:pPr>
            <w:r>
              <w:t>55 813</w:t>
            </w:r>
          </w:p>
        </w:tc>
        <w:tc>
          <w:tcPr>
            <w:tcW w:w="2414" w:type="dxa"/>
            <w:gridSpan w:val="2"/>
            <w:tcBorders>
              <w:top w:val="nil"/>
              <w:left w:val="nil"/>
              <w:bottom w:val="single" w:sz="4" w:space="0" w:color="auto"/>
              <w:right w:val="single" w:sz="4" w:space="0" w:color="auto"/>
            </w:tcBorders>
            <w:noWrap/>
            <w:vAlign w:val="center"/>
          </w:tcPr>
          <w:p w:rsidR="00032100" w:rsidRPr="002169FD" w:rsidRDefault="00032100" w:rsidP="00032100">
            <w:pPr>
              <w:jc w:val="center"/>
            </w:pPr>
            <w:r>
              <w:t>17.83</w:t>
            </w:r>
          </w:p>
        </w:tc>
        <w:tc>
          <w:tcPr>
            <w:tcW w:w="236" w:type="dxa"/>
            <w:vAlign w:val="bottom"/>
          </w:tcPr>
          <w:p w:rsidR="00032100" w:rsidRPr="002169FD" w:rsidRDefault="00032100" w:rsidP="00032100">
            <w:pPr>
              <w:jc w:val="center"/>
            </w:pPr>
          </w:p>
        </w:tc>
        <w:tc>
          <w:tcPr>
            <w:tcW w:w="2552" w:type="dxa"/>
            <w:vAlign w:val="bottom"/>
            <w:hideMark/>
          </w:tcPr>
          <w:p w:rsidR="00032100" w:rsidRPr="002169FD" w:rsidRDefault="00032100" w:rsidP="00032100">
            <w:pPr>
              <w:jc w:val="center"/>
            </w:pPr>
          </w:p>
        </w:tc>
        <w:tc>
          <w:tcPr>
            <w:tcW w:w="1420" w:type="dxa"/>
            <w:vAlign w:val="bottom"/>
            <w:hideMark/>
          </w:tcPr>
          <w:p w:rsidR="00032100" w:rsidRPr="002169FD" w:rsidRDefault="00032100" w:rsidP="00032100">
            <w:pPr>
              <w:jc w:val="center"/>
            </w:pPr>
            <w:r w:rsidRPr="002169FD">
              <w:t>61.66</w:t>
            </w:r>
          </w:p>
        </w:tc>
        <w:tc>
          <w:tcPr>
            <w:tcW w:w="1420" w:type="dxa"/>
            <w:vAlign w:val="bottom"/>
          </w:tcPr>
          <w:p w:rsidR="00032100" w:rsidRPr="002169FD" w:rsidRDefault="00032100" w:rsidP="00032100">
            <w:pPr>
              <w:jc w:val="center"/>
            </w:pPr>
          </w:p>
          <w:p w:rsidR="00032100" w:rsidRPr="002169FD" w:rsidRDefault="00032100" w:rsidP="00032100">
            <w:pPr>
              <w:jc w:val="center"/>
            </w:pPr>
            <w:r w:rsidRPr="002169FD">
              <w:t>42.32</w:t>
            </w:r>
          </w:p>
        </w:tc>
        <w:tc>
          <w:tcPr>
            <w:tcW w:w="1420" w:type="dxa"/>
            <w:vAlign w:val="bottom"/>
            <w:hideMark/>
          </w:tcPr>
          <w:p w:rsidR="00032100" w:rsidRPr="002169FD" w:rsidRDefault="00032100" w:rsidP="00032100">
            <w:pPr>
              <w:jc w:val="center"/>
            </w:pPr>
            <w:r w:rsidRPr="002169FD">
              <w:t>38.34</w:t>
            </w:r>
          </w:p>
        </w:tc>
        <w:tc>
          <w:tcPr>
            <w:tcW w:w="1420" w:type="dxa"/>
            <w:vAlign w:val="bottom"/>
            <w:hideMark/>
          </w:tcPr>
          <w:p w:rsidR="00032100" w:rsidRPr="002169FD" w:rsidRDefault="00032100" w:rsidP="00032100">
            <w:pPr>
              <w:jc w:val="center"/>
            </w:pPr>
            <w:r w:rsidRPr="002169FD">
              <w:t>57.68</w:t>
            </w:r>
          </w:p>
        </w:tc>
      </w:tr>
    </w:tbl>
    <w:p w:rsidR="004818A2" w:rsidRPr="002169FD" w:rsidRDefault="004818A2" w:rsidP="00B02F65">
      <w:pPr>
        <w:tabs>
          <w:tab w:val="num" w:pos="142"/>
        </w:tabs>
        <w:jc w:val="both"/>
      </w:pPr>
    </w:p>
    <w:p w:rsidR="004A6B64" w:rsidRPr="002169FD" w:rsidRDefault="004A6B64" w:rsidP="000002C6">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DD33BC" w:rsidRDefault="00DD33BC" w:rsidP="00032100">
      <w:pPr>
        <w:jc w:val="both"/>
        <w:rPr>
          <w:b/>
          <w:bCs/>
          <w:u w:val="single"/>
        </w:rPr>
      </w:pPr>
    </w:p>
    <w:p w:rsidR="00032100" w:rsidRPr="001C77E3" w:rsidRDefault="00032100" w:rsidP="00032100">
      <w:pPr>
        <w:jc w:val="both"/>
        <w:rPr>
          <w:b/>
          <w:bCs/>
          <w:u w:val="single"/>
        </w:rPr>
      </w:pPr>
      <w:r w:rsidRPr="001C77E3">
        <w:rPr>
          <w:b/>
          <w:bCs/>
          <w:u w:val="single"/>
        </w:rPr>
        <w:lastRenderedPageBreak/>
        <w:t>No valsts piešķirtā finansējuma snie</w:t>
      </w:r>
      <w:r>
        <w:rPr>
          <w:b/>
          <w:bCs/>
          <w:u w:val="single"/>
        </w:rPr>
        <w:t>gtie pakalpojumi stacionārā 2018</w:t>
      </w:r>
      <w:r w:rsidRPr="001C77E3">
        <w:rPr>
          <w:b/>
          <w:bCs/>
          <w:u w:val="single"/>
        </w:rPr>
        <w:t>. gada janvārī –</w:t>
      </w:r>
    </w:p>
    <w:p w:rsidR="00032100" w:rsidRPr="001C77E3" w:rsidRDefault="00032100" w:rsidP="00032100">
      <w:pPr>
        <w:jc w:val="both"/>
        <w:rPr>
          <w:b/>
          <w:bCs/>
          <w:u w:val="single"/>
        </w:rPr>
      </w:pPr>
      <w:r>
        <w:rPr>
          <w:b/>
          <w:bCs/>
          <w:u w:val="single"/>
        </w:rPr>
        <w:t>jūnijā</w:t>
      </w:r>
      <w:r w:rsidRPr="001C77E3">
        <w:rPr>
          <w:b/>
          <w:bCs/>
          <w:u w:val="single"/>
        </w:rPr>
        <w:t xml:space="preserve"> sadalījumā pa programmām*</w:t>
      </w:r>
    </w:p>
    <w:p w:rsidR="00032100" w:rsidRPr="001C77E3" w:rsidRDefault="00032100" w:rsidP="00032100">
      <w:pPr>
        <w:rPr>
          <w:b/>
          <w:bCs/>
          <w:u w:val="single"/>
        </w:rPr>
      </w:pPr>
    </w:p>
    <w:tbl>
      <w:tblPr>
        <w:tblW w:w="8505" w:type="dxa"/>
        <w:tblInd w:w="-10" w:type="dxa"/>
        <w:tblLook w:val="04A0" w:firstRow="1" w:lastRow="0" w:firstColumn="1" w:lastColumn="0" w:noHBand="0" w:noVBand="1"/>
      </w:tblPr>
      <w:tblGrid>
        <w:gridCol w:w="6092"/>
        <w:gridCol w:w="952"/>
        <w:gridCol w:w="1461"/>
      </w:tblGrid>
      <w:tr w:rsidR="00032100" w:rsidRPr="00490717" w:rsidTr="00032100">
        <w:trPr>
          <w:trHeight w:val="915"/>
        </w:trPr>
        <w:tc>
          <w:tcPr>
            <w:tcW w:w="6092" w:type="dxa"/>
            <w:tcBorders>
              <w:top w:val="single" w:sz="8" w:space="0" w:color="auto"/>
              <w:left w:val="single" w:sz="8" w:space="0" w:color="auto"/>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Programma</w:t>
            </w:r>
          </w:p>
        </w:tc>
        <w:tc>
          <w:tcPr>
            <w:tcW w:w="952"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Pacientu skaits</w:t>
            </w:r>
          </w:p>
        </w:tc>
        <w:tc>
          <w:tcPr>
            <w:tcW w:w="1461"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Maksa par pakalpojumiem</w:t>
            </w:r>
          </w:p>
        </w:tc>
      </w:tr>
      <w:tr w:rsidR="00032100" w:rsidRPr="00490717" w:rsidTr="00032100">
        <w:trPr>
          <w:trHeight w:val="371"/>
        </w:trPr>
        <w:tc>
          <w:tcPr>
            <w:tcW w:w="6092" w:type="dxa"/>
            <w:tcBorders>
              <w:top w:val="single" w:sz="4" w:space="0" w:color="auto"/>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 - Gūžas locītavas </w:t>
            </w:r>
            <w:proofErr w:type="spellStart"/>
            <w:r w:rsidRPr="0032115B">
              <w:t>endoprotezēšana</w:t>
            </w:r>
            <w:proofErr w:type="spellEnd"/>
            <w:r w:rsidRPr="0032115B">
              <w:t xml:space="preserve"> ar cementa EP</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55</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102</w:t>
            </w:r>
            <w:r>
              <w:t xml:space="preserve"> </w:t>
            </w:r>
            <w:r w:rsidRPr="00032100">
              <w:t>420</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2.1.27.</w:t>
            </w:r>
            <w:r>
              <w:t>10. - Elkoņa locītavas daļēja (rā</w:t>
            </w:r>
            <w:r w:rsidRPr="0032115B">
              <w:t>dija galviņas)</w:t>
            </w:r>
            <w:r>
              <w:t xml:space="preserve"> </w:t>
            </w:r>
            <w:proofErr w:type="spellStart"/>
            <w:r w:rsidRPr="0032115B">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5</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9</w:t>
            </w:r>
            <w:r>
              <w:t xml:space="preserve"> </w:t>
            </w:r>
            <w:r w:rsidRPr="00032100">
              <w:t>699</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2.1.27.11. -Elkoņa locītavas totālā </w:t>
            </w:r>
            <w:proofErr w:type="spellStart"/>
            <w:r w:rsidRPr="0032115B">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1</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4</w:t>
            </w:r>
            <w:r>
              <w:t xml:space="preserve"> </w:t>
            </w:r>
            <w:r w:rsidRPr="00032100">
              <w:t>488</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2.1.27.12. -Gūžas locītavas </w:t>
            </w:r>
            <w:proofErr w:type="spellStart"/>
            <w:r w:rsidRPr="0032115B">
              <w:t>endoprotezēšana</w:t>
            </w:r>
            <w:proofErr w:type="spellEnd"/>
            <w:r w:rsidRPr="0032115B">
              <w:t xml:space="preserve"> ar cementējamu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180</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350</w:t>
            </w:r>
            <w:r>
              <w:t xml:space="preserve"> </w:t>
            </w:r>
            <w:r w:rsidRPr="00032100">
              <w:t>579</w:t>
            </w:r>
          </w:p>
        </w:tc>
      </w:tr>
      <w:tr w:rsidR="00032100" w:rsidRPr="00490717" w:rsidTr="00032100">
        <w:trPr>
          <w:trHeight w:val="576"/>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2.1.27.13. -Gūžas locītavas </w:t>
            </w:r>
            <w:proofErr w:type="spellStart"/>
            <w:r w:rsidRPr="0032115B">
              <w:t>endoprotezēšana</w:t>
            </w:r>
            <w:proofErr w:type="spellEnd"/>
            <w:r w:rsidRPr="0032115B">
              <w:t xml:space="preserve"> ar </w:t>
            </w:r>
            <w:proofErr w:type="spellStart"/>
            <w:r w:rsidRPr="0032115B">
              <w:t>bezcementa</w:t>
            </w:r>
            <w:proofErr w:type="spellEnd"/>
            <w:r w:rsidRPr="0032115B">
              <w:t xml:space="preserve"> fiksācijas vai hibrīda tipa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65</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172</w:t>
            </w:r>
            <w:r>
              <w:t xml:space="preserve"> </w:t>
            </w:r>
            <w:r w:rsidRPr="00032100">
              <w:t>045</w:t>
            </w:r>
          </w:p>
        </w:tc>
      </w:tr>
      <w:tr w:rsidR="00032100" w:rsidRPr="00490717" w:rsidTr="00032100">
        <w:trPr>
          <w:trHeight w:val="417"/>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2.1.27.14. Gūžas locītavas </w:t>
            </w:r>
            <w:proofErr w:type="spellStart"/>
            <w:r w:rsidRPr="0032115B">
              <w:t>endoprotezēšana</w:t>
            </w:r>
            <w:proofErr w:type="spellEnd"/>
            <w:r w:rsidRPr="0032115B">
              <w:t xml:space="preserve"> bez endoprotēzes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9</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5</w:t>
            </w:r>
            <w:r>
              <w:t xml:space="preserve"> </w:t>
            </w:r>
            <w:r w:rsidRPr="00032100">
              <w:t>617</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2.1.27.15. Gūžas locītavas </w:t>
            </w:r>
            <w:proofErr w:type="spellStart"/>
            <w:r w:rsidRPr="0032115B">
              <w:t>endoprotezēšana</w:t>
            </w:r>
            <w:proofErr w:type="spellEnd"/>
            <w:r w:rsidRPr="0032115B">
              <w:t xml:space="preserve"> ar cementējamu endoprotēzi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90</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87</w:t>
            </w:r>
            <w:r>
              <w:t xml:space="preserve"> </w:t>
            </w:r>
            <w:r w:rsidRPr="00032100">
              <w:t>645</w:t>
            </w:r>
          </w:p>
        </w:tc>
      </w:tr>
      <w:tr w:rsidR="00032100" w:rsidRPr="00490717" w:rsidTr="00032100">
        <w:trPr>
          <w:trHeight w:val="475"/>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2.1.27.16. Ceļa locītavas </w:t>
            </w:r>
            <w:proofErr w:type="spellStart"/>
            <w:r w:rsidRPr="0032115B">
              <w:t>endoprotezēšana</w:t>
            </w:r>
            <w:proofErr w:type="spellEnd"/>
            <w:r w:rsidRPr="0032115B">
              <w:t xml:space="preserve">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239</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829</w:t>
            </w:r>
            <w:r>
              <w:t xml:space="preserve"> </w:t>
            </w:r>
            <w:r w:rsidRPr="00032100">
              <w:t>122</w:t>
            </w:r>
          </w:p>
        </w:tc>
      </w:tr>
      <w:tr w:rsidR="00032100" w:rsidRPr="00490717" w:rsidTr="00032100">
        <w:trPr>
          <w:trHeight w:val="427"/>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2.1.27.17.Ceļa locītavas </w:t>
            </w:r>
            <w:proofErr w:type="spellStart"/>
            <w:r w:rsidRPr="0032115B">
              <w:t>endoprotezēšana</w:t>
            </w:r>
            <w:proofErr w:type="spellEnd"/>
            <w:r w:rsidRPr="0032115B">
              <w:t xml:space="preserve"> ar 50% apmaksu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40</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69</w:t>
            </w:r>
            <w:r>
              <w:t xml:space="preserve"> </w:t>
            </w:r>
            <w:r w:rsidRPr="00032100">
              <w:t>383</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2.1.27.2 - Gūžas locītavas </w:t>
            </w:r>
            <w:proofErr w:type="spellStart"/>
            <w:r w:rsidRPr="0032115B">
              <w:t>endoprotezēšana</w:t>
            </w:r>
            <w:proofErr w:type="spellEnd"/>
            <w:r w:rsidRPr="0032115B">
              <w:t xml:space="preserve"> </w:t>
            </w:r>
            <w:proofErr w:type="spellStart"/>
            <w:r w:rsidRPr="0032115B">
              <w:t>bezcementa</w:t>
            </w:r>
            <w:proofErr w:type="spellEnd"/>
            <w:r w:rsidRPr="0032115B">
              <w:t xml:space="preserve"> vai hibrīda EP</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23</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58</w:t>
            </w:r>
            <w:r>
              <w:t xml:space="preserve"> </w:t>
            </w:r>
            <w:r w:rsidRPr="00032100">
              <w:t>731</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2.1.27.6. - Ceļa locītavas </w:t>
            </w:r>
            <w:proofErr w:type="spellStart"/>
            <w:r w:rsidRPr="0032115B">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78</w:t>
            </w:r>
          </w:p>
        </w:tc>
        <w:tc>
          <w:tcPr>
            <w:tcW w:w="1461"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rsidRPr="00032100">
              <w:t>198</w:t>
            </w:r>
            <w:r>
              <w:t xml:space="preserve"> </w:t>
            </w:r>
            <w:r w:rsidRPr="00032100">
              <w:t>331</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2.1.27.8. - Plecu locītavas </w:t>
            </w:r>
            <w:proofErr w:type="spellStart"/>
            <w:r w:rsidRPr="0032115B">
              <w:t>endoprotezēšana</w:t>
            </w:r>
            <w:proofErr w:type="spellEnd"/>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50</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180</w:t>
            </w:r>
            <w:r>
              <w:t xml:space="preserve"> </w:t>
            </w:r>
            <w:r w:rsidRPr="00032100">
              <w:t>439</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pPr>
              <w:jc w:val="center"/>
            </w:pPr>
            <w:r w:rsidRPr="0032115B">
              <w:t xml:space="preserve">2018-01-01 2.1.27.9. - Plecu locītavas </w:t>
            </w:r>
            <w:proofErr w:type="spellStart"/>
            <w:r w:rsidRPr="0032115B">
              <w:t>endoprotezēšana</w:t>
            </w:r>
            <w:proofErr w:type="spellEnd"/>
            <w:r w:rsidRPr="0032115B">
              <w:t xml:space="preserve"> ar 50 % apmaksu</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5</w:t>
            </w:r>
            <w:r>
              <w:t xml:space="preserve"> </w:t>
            </w:r>
            <w:r w:rsidRPr="00032100">
              <w:t>413</w:t>
            </w:r>
          </w:p>
        </w:tc>
      </w:tr>
      <w:tr w:rsidR="00032100" w:rsidRPr="00490717" w:rsidTr="00032100">
        <w:trPr>
          <w:trHeight w:val="546"/>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2.1.28. -Revīzijas </w:t>
            </w:r>
            <w:proofErr w:type="spellStart"/>
            <w:r w:rsidRPr="0032115B">
              <w:t>endoprotezēšana</w:t>
            </w:r>
            <w:proofErr w:type="spellEnd"/>
            <w:r w:rsidRPr="0032115B">
              <w:t xml:space="preserve"> un </w:t>
            </w:r>
            <w:proofErr w:type="spellStart"/>
            <w:r w:rsidRPr="0032115B">
              <w:t>endoprotezēšana</w:t>
            </w:r>
            <w:proofErr w:type="spellEnd"/>
            <w:r w:rsidRPr="0032115B">
              <w:t xml:space="preserve"> </w:t>
            </w:r>
            <w:proofErr w:type="spellStart"/>
            <w:r w:rsidRPr="0032115B">
              <w:t>osteomielīta</w:t>
            </w:r>
            <w:proofErr w:type="spellEnd"/>
            <w:r w:rsidRPr="0032115B">
              <w:t xml:space="preserve"> un onkoloģijas pacientiem( bez implanta vērtības)</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341</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805</w:t>
            </w:r>
            <w:r>
              <w:t xml:space="preserve"> </w:t>
            </w:r>
            <w:r w:rsidRPr="00032100">
              <w:t>254</w:t>
            </w:r>
          </w:p>
        </w:tc>
      </w:tr>
      <w:tr w:rsidR="00032100" w:rsidRPr="00490717" w:rsidTr="00032100">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00" w:rsidRPr="0032115B" w:rsidRDefault="00032100" w:rsidP="00032100">
            <w:pPr>
              <w:rPr>
                <w:b/>
              </w:rPr>
            </w:pPr>
            <w:proofErr w:type="spellStart"/>
            <w:r w:rsidRPr="0032115B">
              <w:rPr>
                <w:b/>
              </w:rPr>
              <w:t>Endoprotezēšana</w:t>
            </w:r>
            <w:proofErr w:type="spellEnd"/>
            <w:r w:rsidRPr="0032115B">
              <w:rPr>
                <w:b/>
              </w:rPr>
              <w:t xml:space="preserve"> 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032100" w:rsidRPr="00032100" w:rsidRDefault="00032100" w:rsidP="00032100">
            <w:pPr>
              <w:jc w:val="center"/>
              <w:rPr>
                <w:b/>
              </w:rPr>
            </w:pPr>
            <w:r w:rsidRPr="00032100">
              <w:rPr>
                <w:b/>
              </w:rPr>
              <w:t>1</w:t>
            </w:r>
            <w:r>
              <w:rPr>
                <w:b/>
              </w:rPr>
              <w:t xml:space="preserve"> </w:t>
            </w:r>
            <w:r w:rsidRPr="00032100">
              <w:rPr>
                <w:b/>
              </w:rPr>
              <w:t>179</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032100" w:rsidRPr="00032100" w:rsidRDefault="00032100" w:rsidP="00032100">
            <w:pPr>
              <w:jc w:val="center"/>
              <w:rPr>
                <w:b/>
              </w:rPr>
            </w:pPr>
            <w:r w:rsidRPr="00032100">
              <w:rPr>
                <w:b/>
              </w:rPr>
              <w:t>2</w:t>
            </w:r>
            <w:r>
              <w:rPr>
                <w:b/>
              </w:rPr>
              <w:t xml:space="preserve"> </w:t>
            </w:r>
            <w:r w:rsidRPr="00032100">
              <w:rPr>
                <w:b/>
              </w:rPr>
              <w:t>879</w:t>
            </w:r>
            <w:r>
              <w:rPr>
                <w:b/>
              </w:rPr>
              <w:t xml:space="preserve"> </w:t>
            </w:r>
            <w:r w:rsidRPr="00032100">
              <w:rPr>
                <w:b/>
              </w:rPr>
              <w:t>166</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2.1.19.2 - Mikroķiru</w:t>
            </w:r>
            <w:r>
              <w:t>r</w:t>
            </w:r>
            <w:r w:rsidRPr="0032115B">
              <w:t>ģija pieaugušajiem DRG</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37</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40</w:t>
            </w:r>
            <w:r>
              <w:t xml:space="preserve"> </w:t>
            </w:r>
            <w:r w:rsidRPr="00032100">
              <w:t>253</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2.1.35.4. - Onkoloģijas programma DRG</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25</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17</w:t>
            </w:r>
            <w:r>
              <w:t xml:space="preserve"> </w:t>
            </w:r>
            <w:r w:rsidRPr="00032100">
              <w:t>386</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2.1.39. - Mugurkaulāja saslimšanu un traumu ķiru</w:t>
            </w:r>
            <w:r>
              <w:t>r</w:t>
            </w:r>
            <w:r w:rsidRPr="0032115B">
              <w:t>ģi</w:t>
            </w:r>
            <w:r>
              <w:t>s</w:t>
            </w:r>
            <w:r w:rsidRPr="0032115B">
              <w:t>ka ārstēšana  DRG</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74</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166</w:t>
            </w:r>
            <w:r>
              <w:t xml:space="preserve"> </w:t>
            </w:r>
            <w:r w:rsidRPr="00032100">
              <w:t>608</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2.1.41. - </w:t>
            </w:r>
            <w:proofErr w:type="spellStart"/>
            <w:r w:rsidRPr="0032115B">
              <w:t>Osteomielīts</w:t>
            </w:r>
            <w:proofErr w:type="spellEnd"/>
            <w:r w:rsidRPr="0032115B">
              <w:t xml:space="preserve"> DRG</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22</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22</w:t>
            </w:r>
            <w:r>
              <w:t xml:space="preserve"> </w:t>
            </w:r>
            <w:r w:rsidRPr="00032100">
              <w:t>179</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3.3. - Pārējie pakalpojumi DRG</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302</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185</w:t>
            </w:r>
            <w:r>
              <w:t xml:space="preserve"> </w:t>
            </w:r>
            <w:r w:rsidRPr="00032100">
              <w:t>164</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2.1.19.2 - Mikroķiru</w:t>
            </w:r>
            <w:r>
              <w:t>r</w:t>
            </w:r>
            <w:r w:rsidRPr="0032115B">
              <w:t>ģija pieaugušajiem DRG (AK)</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21</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23</w:t>
            </w:r>
            <w:r>
              <w:t xml:space="preserve"> </w:t>
            </w:r>
            <w:r w:rsidRPr="00032100">
              <w:t>272</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w:t>
            </w:r>
            <w:r>
              <w:t xml:space="preserve">1.35.4. - Onkoloģijas programma DRG </w:t>
            </w:r>
            <w:r w:rsidRPr="0032115B">
              <w:t>(AK)</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9</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13</w:t>
            </w:r>
            <w:r>
              <w:t xml:space="preserve"> </w:t>
            </w:r>
            <w:r w:rsidRPr="00032100">
              <w:t>181</w:t>
            </w:r>
          </w:p>
        </w:tc>
      </w:tr>
      <w:tr w:rsidR="00032100" w:rsidRPr="00490717" w:rsidTr="00032100">
        <w:trPr>
          <w:trHeight w:val="6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2.1.39. - Mugurkaulāja saslimšanu un traumu ķiru</w:t>
            </w:r>
            <w:r>
              <w:t>r</w:t>
            </w:r>
            <w:r w:rsidRPr="0032115B">
              <w:t>ģi</w:t>
            </w:r>
            <w:r>
              <w:t>s</w:t>
            </w:r>
            <w:r w:rsidRPr="0032115B">
              <w:t>ka ārstēšana DRG(AK)</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58</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156</w:t>
            </w:r>
            <w:r>
              <w:t xml:space="preserve"> </w:t>
            </w:r>
            <w:r w:rsidRPr="00032100">
              <w:t>332</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 xml:space="preserve">2018-01-01 2.1.41. - </w:t>
            </w:r>
            <w:proofErr w:type="spellStart"/>
            <w:r w:rsidRPr="0032115B">
              <w:t>Osteomielīts</w:t>
            </w:r>
            <w:proofErr w:type="spellEnd"/>
            <w:r w:rsidRPr="0032115B">
              <w:t xml:space="preserve"> DRG (AK)</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36</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54</w:t>
            </w:r>
            <w:r>
              <w:t xml:space="preserve"> </w:t>
            </w:r>
            <w:r w:rsidRPr="00032100">
              <w:t>413</w:t>
            </w:r>
          </w:p>
        </w:tc>
      </w:tr>
      <w:tr w:rsidR="00032100" w:rsidRPr="00490717" w:rsidTr="00032100">
        <w:trPr>
          <w:trHeight w:val="300"/>
        </w:trPr>
        <w:tc>
          <w:tcPr>
            <w:tcW w:w="6092" w:type="dxa"/>
            <w:tcBorders>
              <w:top w:val="nil"/>
              <w:left w:val="single" w:sz="4" w:space="0" w:color="auto"/>
              <w:bottom w:val="nil"/>
              <w:right w:val="single" w:sz="4" w:space="0" w:color="auto"/>
            </w:tcBorders>
            <w:shd w:val="clear" w:color="000000" w:fill="FFFFFF"/>
            <w:hideMark/>
          </w:tcPr>
          <w:p w:rsidR="00032100" w:rsidRPr="0032115B" w:rsidRDefault="00032100" w:rsidP="00032100">
            <w:r w:rsidRPr="0032115B">
              <w:t>2018-01-01 3.3. - Pārējie pakalpojumi DRG(AK)</w:t>
            </w:r>
          </w:p>
        </w:tc>
        <w:tc>
          <w:tcPr>
            <w:tcW w:w="952" w:type="dxa"/>
            <w:tcBorders>
              <w:top w:val="nil"/>
              <w:left w:val="nil"/>
              <w:bottom w:val="nil"/>
              <w:right w:val="single" w:sz="4" w:space="0" w:color="auto"/>
            </w:tcBorders>
            <w:shd w:val="clear" w:color="000000" w:fill="FFFFFF"/>
            <w:noWrap/>
            <w:vAlign w:val="center"/>
          </w:tcPr>
          <w:p w:rsidR="00032100" w:rsidRPr="0032115B" w:rsidRDefault="00032100" w:rsidP="00032100">
            <w:pPr>
              <w:jc w:val="center"/>
            </w:pPr>
            <w:r>
              <w:t>1315</w:t>
            </w:r>
          </w:p>
        </w:tc>
        <w:tc>
          <w:tcPr>
            <w:tcW w:w="1461" w:type="dxa"/>
            <w:tcBorders>
              <w:top w:val="nil"/>
              <w:left w:val="nil"/>
              <w:bottom w:val="nil"/>
              <w:right w:val="single" w:sz="4" w:space="0" w:color="auto"/>
            </w:tcBorders>
            <w:shd w:val="clear" w:color="000000" w:fill="FFFFFF"/>
            <w:noWrap/>
            <w:vAlign w:val="center"/>
          </w:tcPr>
          <w:p w:rsidR="00032100" w:rsidRPr="00032100" w:rsidRDefault="00032100" w:rsidP="00032100">
            <w:pPr>
              <w:jc w:val="center"/>
            </w:pPr>
            <w:r w:rsidRPr="00032100">
              <w:t>944</w:t>
            </w:r>
            <w:r>
              <w:t xml:space="preserve"> </w:t>
            </w:r>
            <w:r w:rsidRPr="00032100">
              <w:t>720</w:t>
            </w:r>
          </w:p>
        </w:tc>
      </w:tr>
      <w:tr w:rsidR="00032100" w:rsidRPr="00490717" w:rsidTr="00032100">
        <w:trPr>
          <w:trHeight w:val="300"/>
        </w:trPr>
        <w:tc>
          <w:tcPr>
            <w:tcW w:w="6092" w:type="dxa"/>
            <w:tcBorders>
              <w:top w:val="single" w:sz="4" w:space="0" w:color="auto"/>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2018-01-01 F0042.1 -98. pacientu grupa</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256</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257</w:t>
            </w:r>
            <w:r>
              <w:t xml:space="preserve"> </w:t>
            </w:r>
            <w:r w:rsidRPr="00032100">
              <w:t>633</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032100" w:rsidRPr="00F917F1" w:rsidRDefault="00032100" w:rsidP="00032100">
            <w:pPr>
              <w:rPr>
                <w:color w:val="000000"/>
              </w:rPr>
            </w:pPr>
            <w:r w:rsidRPr="00F917F1">
              <w:rPr>
                <w:color w:val="000000"/>
              </w:rPr>
              <w:t xml:space="preserve">2018-01-01 - </w:t>
            </w:r>
            <w:proofErr w:type="spellStart"/>
            <w:r w:rsidRPr="00F917F1">
              <w:rPr>
                <w:color w:val="000000"/>
              </w:rPr>
              <w:t>Mikrodiskektomija</w:t>
            </w:r>
            <w:proofErr w:type="spellEnd"/>
            <w:r w:rsidRPr="00F917F1">
              <w:rPr>
                <w:color w:val="000000"/>
              </w:rPr>
              <w:t xml:space="preserve"> + 98. pacientu grupa</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3</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2</w:t>
            </w:r>
            <w:r>
              <w:t xml:space="preserve"> </w:t>
            </w:r>
            <w:r w:rsidRPr="00032100">
              <w:t>659</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ES, EEZ un Ukrainas pilsoņi</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6</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3</w:t>
            </w:r>
            <w:r>
              <w:t xml:space="preserve"> </w:t>
            </w:r>
            <w:r w:rsidRPr="00032100">
              <w:t>733</w:t>
            </w:r>
          </w:p>
        </w:tc>
      </w:tr>
      <w:tr w:rsidR="00032100"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hideMark/>
          </w:tcPr>
          <w:p w:rsidR="00032100" w:rsidRPr="0032115B" w:rsidRDefault="00032100" w:rsidP="00032100">
            <w:r w:rsidRPr="0032115B">
              <w:t>2018-03-01 Plānveida īslaicīgā ķirurģija.(DRG grupa)</w:t>
            </w:r>
          </w:p>
        </w:tc>
        <w:tc>
          <w:tcPr>
            <w:tcW w:w="952" w:type="dxa"/>
            <w:tcBorders>
              <w:top w:val="nil"/>
              <w:left w:val="nil"/>
              <w:bottom w:val="single" w:sz="4" w:space="0" w:color="auto"/>
              <w:right w:val="single" w:sz="4" w:space="0" w:color="auto"/>
            </w:tcBorders>
            <w:shd w:val="clear" w:color="000000" w:fill="FFFFFF"/>
            <w:noWrap/>
            <w:vAlign w:val="center"/>
          </w:tcPr>
          <w:p w:rsidR="00032100" w:rsidRPr="0032115B" w:rsidRDefault="00032100" w:rsidP="00032100">
            <w:pPr>
              <w:jc w:val="center"/>
            </w:pPr>
            <w:r>
              <w:t>21</w:t>
            </w:r>
          </w:p>
        </w:tc>
        <w:tc>
          <w:tcPr>
            <w:tcW w:w="1461" w:type="dxa"/>
            <w:tcBorders>
              <w:top w:val="nil"/>
              <w:left w:val="nil"/>
              <w:bottom w:val="single" w:sz="4" w:space="0" w:color="auto"/>
              <w:right w:val="single" w:sz="4" w:space="0" w:color="auto"/>
            </w:tcBorders>
            <w:shd w:val="clear" w:color="000000" w:fill="FFFFFF"/>
            <w:noWrap/>
            <w:vAlign w:val="center"/>
          </w:tcPr>
          <w:p w:rsidR="00032100" w:rsidRPr="00032100" w:rsidRDefault="00032100" w:rsidP="00032100">
            <w:pPr>
              <w:jc w:val="center"/>
            </w:pPr>
            <w:r w:rsidRPr="00032100">
              <w:t>8</w:t>
            </w:r>
            <w:r>
              <w:t xml:space="preserve"> </w:t>
            </w:r>
            <w:r w:rsidRPr="00032100">
              <w:t>891</w:t>
            </w:r>
          </w:p>
        </w:tc>
      </w:tr>
      <w:tr w:rsidR="00032100" w:rsidRPr="00490717" w:rsidTr="00032100">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hideMark/>
          </w:tcPr>
          <w:p w:rsidR="00032100" w:rsidRPr="0032115B" w:rsidRDefault="00032100" w:rsidP="00032100">
            <w:pPr>
              <w:rPr>
                <w:b/>
                <w:bCs/>
                <w:color w:val="000000"/>
              </w:rPr>
            </w:pPr>
            <w:r w:rsidRPr="0032115B">
              <w:rPr>
                <w:b/>
                <w:bCs/>
                <w:color w:val="000000"/>
              </w:rPr>
              <w:t>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032100" w:rsidRPr="00032100" w:rsidRDefault="00032100" w:rsidP="00032100">
            <w:pPr>
              <w:jc w:val="center"/>
              <w:rPr>
                <w:b/>
              </w:rPr>
            </w:pPr>
            <w:r w:rsidRPr="00032100">
              <w:rPr>
                <w:b/>
              </w:rPr>
              <w:t>3</w:t>
            </w:r>
            <w:r>
              <w:rPr>
                <w:b/>
              </w:rPr>
              <w:t xml:space="preserve"> </w:t>
            </w:r>
            <w:r w:rsidRPr="00032100">
              <w:rPr>
                <w:b/>
              </w:rPr>
              <w:t>364</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032100" w:rsidRPr="00032100" w:rsidRDefault="00032100" w:rsidP="00032100">
            <w:pPr>
              <w:jc w:val="center"/>
              <w:rPr>
                <w:b/>
              </w:rPr>
            </w:pPr>
            <w:r w:rsidRPr="00032100">
              <w:rPr>
                <w:b/>
              </w:rPr>
              <w:t>4</w:t>
            </w:r>
            <w:r>
              <w:rPr>
                <w:b/>
              </w:rPr>
              <w:t xml:space="preserve"> </w:t>
            </w:r>
            <w:r w:rsidRPr="00032100">
              <w:rPr>
                <w:b/>
              </w:rPr>
              <w:t>775</w:t>
            </w:r>
            <w:r>
              <w:rPr>
                <w:b/>
              </w:rPr>
              <w:t xml:space="preserve"> </w:t>
            </w:r>
            <w:r w:rsidRPr="00032100">
              <w:rPr>
                <w:b/>
              </w:rPr>
              <w:t>590</w:t>
            </w:r>
          </w:p>
        </w:tc>
      </w:tr>
    </w:tbl>
    <w:p w:rsidR="00032100" w:rsidRPr="001C77E3" w:rsidRDefault="00032100" w:rsidP="00032100">
      <w:pPr>
        <w:tabs>
          <w:tab w:val="num" w:pos="142"/>
        </w:tabs>
        <w:jc w:val="both"/>
      </w:pPr>
    </w:p>
    <w:p w:rsidR="00032100" w:rsidRDefault="00032100" w:rsidP="00032100">
      <w:pPr>
        <w:jc w:val="center"/>
        <w:rPr>
          <w:b/>
        </w:rPr>
      </w:pPr>
    </w:p>
    <w:p w:rsidR="00032100" w:rsidRDefault="00032100" w:rsidP="00032100">
      <w:pPr>
        <w:jc w:val="center"/>
        <w:rPr>
          <w:b/>
        </w:rPr>
      </w:pPr>
    </w:p>
    <w:p w:rsidR="00032100" w:rsidRDefault="00032100" w:rsidP="00032100">
      <w:pPr>
        <w:jc w:val="center"/>
        <w:rPr>
          <w:b/>
        </w:rPr>
      </w:pPr>
    </w:p>
    <w:p w:rsidR="00032100" w:rsidRDefault="00032100" w:rsidP="00032100">
      <w:pPr>
        <w:jc w:val="center"/>
        <w:rPr>
          <w:b/>
        </w:rPr>
      </w:pPr>
    </w:p>
    <w:p w:rsidR="00032100" w:rsidRPr="00DD33BC" w:rsidRDefault="00032100" w:rsidP="00DD33BC">
      <w:pPr>
        <w:rPr>
          <w:b/>
        </w:rPr>
      </w:pPr>
      <w:r>
        <w:rPr>
          <w:b/>
          <w:bCs/>
          <w:u w:val="single"/>
        </w:rPr>
        <w:t>Ieņēmumi no maksas pakalpojumiem 2018. gada janvārī- jūnijā</w:t>
      </w:r>
    </w:p>
    <w:p w:rsidR="00032100" w:rsidRPr="002169FD" w:rsidRDefault="00032100" w:rsidP="00032100">
      <w:pPr>
        <w:jc w:val="both"/>
        <w:rPr>
          <w:b/>
          <w:i/>
          <w:noProof/>
        </w:rPr>
      </w:pPr>
    </w:p>
    <w:tbl>
      <w:tblPr>
        <w:tblW w:w="3681" w:type="dxa"/>
        <w:tblLayout w:type="fixed"/>
        <w:tblLook w:val="00A0" w:firstRow="1" w:lastRow="0" w:firstColumn="1" w:lastColumn="0" w:noHBand="0" w:noVBand="0"/>
      </w:tblPr>
      <w:tblGrid>
        <w:gridCol w:w="2093"/>
        <w:gridCol w:w="1588"/>
      </w:tblGrid>
      <w:tr w:rsidR="00032100" w:rsidRPr="002169FD" w:rsidTr="0003210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rsidR="00032100" w:rsidRPr="002169FD" w:rsidRDefault="00032100" w:rsidP="00032100">
            <w:pPr>
              <w:jc w:val="center"/>
            </w:pPr>
            <w:r>
              <w:t>Pakalpojumu veids</w:t>
            </w:r>
          </w:p>
        </w:tc>
        <w:tc>
          <w:tcPr>
            <w:tcW w:w="1588" w:type="dxa"/>
            <w:tcBorders>
              <w:top w:val="single" w:sz="4" w:space="0" w:color="auto"/>
              <w:left w:val="nil"/>
              <w:bottom w:val="double" w:sz="6" w:space="0" w:color="auto"/>
              <w:right w:val="single" w:sz="4" w:space="0" w:color="auto"/>
            </w:tcBorders>
            <w:shd w:val="clear" w:color="auto" w:fill="D9D9D9" w:themeFill="background1" w:themeFillShade="D9"/>
            <w:vAlign w:val="center"/>
            <w:hideMark/>
          </w:tcPr>
          <w:p w:rsidR="00032100" w:rsidRPr="002169FD" w:rsidRDefault="00032100" w:rsidP="00032100">
            <w:pPr>
              <w:jc w:val="center"/>
            </w:pPr>
            <w:r>
              <w:t>EUR</w:t>
            </w:r>
          </w:p>
        </w:tc>
      </w:tr>
      <w:tr w:rsidR="00032100" w:rsidRPr="002169FD" w:rsidTr="00032100">
        <w:trPr>
          <w:trHeight w:val="390"/>
        </w:trPr>
        <w:tc>
          <w:tcPr>
            <w:tcW w:w="2093" w:type="dxa"/>
            <w:tcBorders>
              <w:top w:val="nil"/>
              <w:left w:val="single" w:sz="4" w:space="0" w:color="auto"/>
              <w:bottom w:val="nil"/>
              <w:right w:val="single" w:sz="4" w:space="0" w:color="auto"/>
            </w:tcBorders>
            <w:noWrap/>
            <w:vAlign w:val="center"/>
            <w:hideMark/>
          </w:tcPr>
          <w:p w:rsidR="00032100" w:rsidRPr="002169FD" w:rsidRDefault="00032100" w:rsidP="00032100">
            <w:r>
              <w:t>Ambulatorie pakalpojumi</w:t>
            </w:r>
          </w:p>
        </w:tc>
        <w:tc>
          <w:tcPr>
            <w:tcW w:w="1588" w:type="dxa"/>
            <w:tcBorders>
              <w:top w:val="nil"/>
              <w:left w:val="nil"/>
              <w:bottom w:val="nil"/>
              <w:right w:val="single" w:sz="4" w:space="0" w:color="auto"/>
            </w:tcBorders>
            <w:noWrap/>
            <w:vAlign w:val="center"/>
          </w:tcPr>
          <w:p w:rsidR="00032100" w:rsidRPr="002169FD" w:rsidRDefault="00032100" w:rsidP="00032100">
            <w:pPr>
              <w:jc w:val="center"/>
            </w:pPr>
            <w:r>
              <w:t>289 284</w:t>
            </w:r>
          </w:p>
        </w:tc>
      </w:tr>
      <w:tr w:rsidR="00032100" w:rsidRPr="002169FD" w:rsidTr="00032100">
        <w:trPr>
          <w:trHeight w:val="256"/>
        </w:trPr>
        <w:tc>
          <w:tcPr>
            <w:tcW w:w="2093" w:type="dxa"/>
            <w:tcBorders>
              <w:top w:val="nil"/>
              <w:left w:val="single" w:sz="4" w:space="0" w:color="auto"/>
              <w:bottom w:val="single" w:sz="4" w:space="0" w:color="auto"/>
              <w:right w:val="single" w:sz="4" w:space="0" w:color="auto"/>
            </w:tcBorders>
            <w:noWrap/>
            <w:vAlign w:val="center"/>
          </w:tcPr>
          <w:p w:rsidR="00032100" w:rsidRDefault="00032100" w:rsidP="00032100"/>
        </w:tc>
        <w:tc>
          <w:tcPr>
            <w:tcW w:w="1588" w:type="dxa"/>
            <w:tcBorders>
              <w:top w:val="nil"/>
              <w:left w:val="nil"/>
              <w:bottom w:val="single" w:sz="4" w:space="0" w:color="auto"/>
              <w:right w:val="single" w:sz="4" w:space="0" w:color="auto"/>
            </w:tcBorders>
            <w:noWrap/>
            <w:vAlign w:val="center"/>
          </w:tcPr>
          <w:p w:rsidR="00032100" w:rsidRDefault="00032100" w:rsidP="00032100"/>
        </w:tc>
      </w:tr>
      <w:tr w:rsidR="00032100" w:rsidRPr="002169FD" w:rsidTr="00032100">
        <w:trPr>
          <w:trHeight w:val="591"/>
        </w:trPr>
        <w:tc>
          <w:tcPr>
            <w:tcW w:w="2093" w:type="dxa"/>
            <w:tcBorders>
              <w:top w:val="nil"/>
              <w:left w:val="single" w:sz="4" w:space="0" w:color="auto"/>
              <w:bottom w:val="nil"/>
              <w:right w:val="single" w:sz="4" w:space="0" w:color="auto"/>
            </w:tcBorders>
            <w:noWrap/>
            <w:vAlign w:val="center"/>
          </w:tcPr>
          <w:p w:rsidR="00032100" w:rsidRDefault="00032100" w:rsidP="00032100">
            <w:r>
              <w:t>Stacionārie pakalpojumi</w:t>
            </w:r>
          </w:p>
        </w:tc>
        <w:tc>
          <w:tcPr>
            <w:tcW w:w="1588" w:type="dxa"/>
            <w:tcBorders>
              <w:top w:val="nil"/>
              <w:left w:val="nil"/>
              <w:bottom w:val="nil"/>
              <w:right w:val="single" w:sz="4" w:space="0" w:color="auto"/>
            </w:tcBorders>
            <w:noWrap/>
            <w:vAlign w:val="center"/>
          </w:tcPr>
          <w:p w:rsidR="00032100" w:rsidRDefault="00032100" w:rsidP="00032100">
            <w:pPr>
              <w:jc w:val="center"/>
            </w:pPr>
            <w:r>
              <w:t>498 819</w:t>
            </w:r>
          </w:p>
        </w:tc>
      </w:tr>
      <w:tr w:rsidR="00032100" w:rsidRPr="002169FD" w:rsidTr="00032100">
        <w:trPr>
          <w:trHeight w:val="80"/>
        </w:trPr>
        <w:tc>
          <w:tcPr>
            <w:tcW w:w="2093" w:type="dxa"/>
            <w:tcBorders>
              <w:top w:val="nil"/>
              <w:left w:val="single" w:sz="4" w:space="0" w:color="auto"/>
              <w:bottom w:val="single" w:sz="4" w:space="0" w:color="auto"/>
              <w:right w:val="single" w:sz="4" w:space="0" w:color="auto"/>
            </w:tcBorders>
            <w:noWrap/>
            <w:vAlign w:val="center"/>
          </w:tcPr>
          <w:p w:rsidR="00032100" w:rsidRDefault="00032100" w:rsidP="00032100"/>
        </w:tc>
        <w:tc>
          <w:tcPr>
            <w:tcW w:w="1588" w:type="dxa"/>
            <w:tcBorders>
              <w:top w:val="nil"/>
              <w:left w:val="nil"/>
              <w:bottom w:val="single" w:sz="4" w:space="0" w:color="auto"/>
              <w:right w:val="single" w:sz="4" w:space="0" w:color="auto"/>
            </w:tcBorders>
            <w:noWrap/>
            <w:vAlign w:val="center"/>
          </w:tcPr>
          <w:p w:rsidR="00032100" w:rsidRDefault="00032100" w:rsidP="00032100"/>
        </w:tc>
      </w:tr>
      <w:tr w:rsidR="00032100" w:rsidRPr="002169FD" w:rsidTr="00032100">
        <w:trPr>
          <w:trHeight w:val="591"/>
        </w:trPr>
        <w:tc>
          <w:tcPr>
            <w:tcW w:w="209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032100" w:rsidRPr="00355510" w:rsidRDefault="00032100" w:rsidP="00032100">
            <w:pPr>
              <w:jc w:val="center"/>
              <w:rPr>
                <w:b/>
              </w:rPr>
            </w:pPr>
            <w:r w:rsidRPr="00355510">
              <w:rPr>
                <w:b/>
              </w:rPr>
              <w:t>KOPĀ</w:t>
            </w:r>
          </w:p>
        </w:tc>
        <w:tc>
          <w:tcPr>
            <w:tcW w:w="1588" w:type="dxa"/>
            <w:tcBorders>
              <w:top w:val="nil"/>
              <w:left w:val="nil"/>
              <w:bottom w:val="single" w:sz="4" w:space="0" w:color="auto"/>
              <w:right w:val="single" w:sz="4" w:space="0" w:color="auto"/>
            </w:tcBorders>
            <w:shd w:val="clear" w:color="auto" w:fill="D9D9D9" w:themeFill="background1" w:themeFillShade="D9"/>
            <w:noWrap/>
            <w:vAlign w:val="center"/>
          </w:tcPr>
          <w:p w:rsidR="00032100" w:rsidRPr="00355510" w:rsidRDefault="00032100" w:rsidP="00032100">
            <w:pPr>
              <w:jc w:val="center"/>
              <w:rPr>
                <w:b/>
              </w:rPr>
            </w:pPr>
            <w:r w:rsidRPr="00355510">
              <w:rPr>
                <w:b/>
              </w:rPr>
              <w:t>788</w:t>
            </w:r>
            <w:r>
              <w:rPr>
                <w:b/>
              </w:rPr>
              <w:t xml:space="preserve"> </w:t>
            </w:r>
            <w:r w:rsidRPr="00355510">
              <w:rPr>
                <w:b/>
              </w:rPr>
              <w:t>103</w:t>
            </w:r>
          </w:p>
        </w:tc>
      </w:tr>
    </w:tbl>
    <w:p w:rsidR="00032100" w:rsidRDefault="00032100" w:rsidP="00032100">
      <w:pPr>
        <w:tabs>
          <w:tab w:val="num" w:pos="142"/>
        </w:tabs>
        <w:rPr>
          <w:b/>
          <w:u w:val="single"/>
        </w:rPr>
      </w:pPr>
    </w:p>
    <w:p w:rsidR="00032100" w:rsidRPr="001C77E3" w:rsidRDefault="00032100" w:rsidP="00032100">
      <w:pPr>
        <w:tabs>
          <w:tab w:val="num" w:pos="142"/>
        </w:tabs>
        <w:rPr>
          <w:b/>
          <w:u w:val="single"/>
        </w:rPr>
      </w:pPr>
      <w:r w:rsidRPr="001C77E3">
        <w:rPr>
          <w:b/>
          <w:u w:val="single"/>
        </w:rPr>
        <w:t xml:space="preserve">Valsts piešķirtā finansējuma ietvaros faktiski veiktās </w:t>
      </w:r>
      <w:proofErr w:type="spellStart"/>
      <w:r w:rsidRPr="001C77E3">
        <w:rPr>
          <w:b/>
          <w:u w:val="single"/>
        </w:rPr>
        <w:t>endprotezēšanas</w:t>
      </w:r>
      <w:proofErr w:type="spellEnd"/>
      <w:r w:rsidRPr="001C77E3">
        <w:rPr>
          <w:b/>
          <w:u w:val="single"/>
        </w:rPr>
        <w:t xml:space="preserve"> operācijas </w:t>
      </w:r>
      <w:r>
        <w:rPr>
          <w:b/>
          <w:u w:val="single"/>
        </w:rPr>
        <w:t>2018</w:t>
      </w:r>
      <w:r w:rsidRPr="001C77E3">
        <w:rPr>
          <w:b/>
          <w:u w:val="single"/>
        </w:rPr>
        <w:t xml:space="preserve">. gada janvārī – </w:t>
      </w:r>
      <w:r>
        <w:rPr>
          <w:b/>
          <w:u w:val="single"/>
        </w:rPr>
        <w:t>jūnijā</w:t>
      </w:r>
    </w:p>
    <w:p w:rsidR="00032100" w:rsidRPr="001C77E3" w:rsidRDefault="00032100" w:rsidP="00032100">
      <w:pPr>
        <w:tabs>
          <w:tab w:val="num" w:pos="142"/>
        </w:tabs>
        <w:rPr>
          <w:b/>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032100" w:rsidRPr="001C77E3" w:rsidTr="00032100">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100" w:rsidRPr="001C77E3" w:rsidRDefault="00032100" w:rsidP="00032100">
            <w:pPr>
              <w:jc w:val="center"/>
            </w:pPr>
            <w:r w:rsidRPr="001C77E3">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1C77E3" w:rsidRDefault="00032100" w:rsidP="00032100">
            <w:pPr>
              <w:jc w:val="center"/>
            </w:pPr>
            <w:proofErr w:type="spellStart"/>
            <w:r w:rsidRPr="001C77E3">
              <w:t>Endoprotezēšanas</w:t>
            </w:r>
            <w:proofErr w:type="spellEnd"/>
            <w:r w:rsidRPr="001C77E3">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1C77E3" w:rsidRDefault="00032100" w:rsidP="00032100">
            <w:pPr>
              <w:jc w:val="center"/>
            </w:pPr>
            <w:r w:rsidRPr="001C77E3">
              <w:t>201</w:t>
            </w:r>
            <w:r>
              <w:t>8. gada janvārī - jūnijā</w:t>
            </w:r>
          </w:p>
        </w:tc>
      </w:tr>
      <w:tr w:rsidR="00032100" w:rsidRPr="001C77E3" w:rsidTr="00032100">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r w:rsidRPr="001C77E3">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cementējamā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111</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hibrīdtipa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rPr>
                <w:bCs/>
              </w:rPr>
            </w:pPr>
            <w:r>
              <w:rPr>
                <w:bCs/>
              </w:rPr>
              <w:t>35</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bezcementa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1</w:t>
            </w:r>
          </w:p>
        </w:tc>
      </w:tr>
      <w:tr w:rsidR="00032100" w:rsidRPr="001C77E3" w:rsidTr="00032100">
        <w:trPr>
          <w:trHeight w:val="231"/>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ceļa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203</w:t>
            </w:r>
          </w:p>
        </w:tc>
      </w:tr>
      <w:tr w:rsidR="00032100" w:rsidRPr="001C77E3" w:rsidTr="00032100">
        <w:trPr>
          <w:trHeight w:val="23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elkoņa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1</w:t>
            </w:r>
          </w:p>
        </w:tc>
      </w:tr>
      <w:tr w:rsidR="00032100" w:rsidRPr="001C77E3" w:rsidTr="00032100">
        <w:trPr>
          <w:trHeight w:val="23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pleca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25</w:t>
            </w:r>
          </w:p>
        </w:tc>
      </w:tr>
      <w:tr w:rsidR="00032100" w:rsidRPr="001C77E3"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1C77E3" w:rsidRDefault="00032100" w:rsidP="00032100">
            <w:pPr>
              <w:jc w:val="right"/>
              <w:rPr>
                <w:i/>
                <w:iCs/>
              </w:rPr>
            </w:pPr>
            <w:r w:rsidRPr="001C77E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1C77E3" w:rsidRDefault="00032100" w:rsidP="00032100">
            <w:pPr>
              <w:jc w:val="center"/>
              <w:rPr>
                <w:b/>
                <w:i/>
              </w:rPr>
            </w:pPr>
            <w:r>
              <w:rPr>
                <w:b/>
                <w:i/>
              </w:rPr>
              <w:t>376</w:t>
            </w:r>
          </w:p>
        </w:tc>
      </w:tr>
      <w:tr w:rsidR="00032100" w:rsidRPr="001C77E3"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r w:rsidRPr="001C77E3">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cementējamā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62</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hibrīdtipa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100" w:rsidRPr="001C77E3" w:rsidRDefault="00032100" w:rsidP="00032100">
            <w:pPr>
              <w:jc w:val="center"/>
            </w:pPr>
            <w:r>
              <w:t>49</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bezcementa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278"/>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ceļa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114</w:t>
            </w:r>
          </w:p>
        </w:tc>
      </w:tr>
      <w:tr w:rsidR="00032100" w:rsidRPr="001C77E3" w:rsidTr="00032100">
        <w:trPr>
          <w:trHeight w:val="15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elkoņa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15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pleca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1C77E3" w:rsidRDefault="00032100" w:rsidP="00032100">
            <w:pPr>
              <w:jc w:val="right"/>
              <w:rPr>
                <w:i/>
                <w:iCs/>
              </w:rPr>
            </w:pPr>
            <w:r w:rsidRPr="001C77E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1C77E3" w:rsidRDefault="00032100" w:rsidP="00032100">
            <w:pPr>
              <w:jc w:val="center"/>
              <w:rPr>
                <w:b/>
                <w:i/>
                <w:iCs/>
              </w:rPr>
            </w:pPr>
            <w:r>
              <w:rPr>
                <w:b/>
                <w:i/>
                <w:iCs/>
              </w:rPr>
              <w:t>225</w:t>
            </w:r>
          </w:p>
        </w:tc>
      </w:tr>
      <w:tr w:rsidR="00032100" w:rsidRPr="001C77E3"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r w:rsidRPr="001C77E3">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cementējamā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89</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hibrīdtipa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6</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bezcementa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4</w:t>
            </w:r>
          </w:p>
        </w:tc>
      </w:tr>
      <w:tr w:rsidR="00032100" w:rsidRPr="001C77E3" w:rsidTr="00032100">
        <w:trPr>
          <w:trHeight w:val="218"/>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ceļa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40</w:t>
            </w:r>
          </w:p>
        </w:tc>
      </w:tr>
      <w:tr w:rsidR="00032100" w:rsidRPr="001C77E3" w:rsidTr="00032100">
        <w:trPr>
          <w:trHeight w:val="218"/>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pleca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3</w:t>
            </w:r>
          </w:p>
        </w:tc>
      </w:tr>
      <w:tr w:rsidR="00032100" w:rsidRPr="001C77E3"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1C77E3" w:rsidRDefault="00032100" w:rsidP="00032100">
            <w:pPr>
              <w:jc w:val="right"/>
              <w:rPr>
                <w:i/>
                <w:iCs/>
              </w:rPr>
            </w:pPr>
            <w:r w:rsidRPr="001C77E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1C77E3" w:rsidRDefault="00032100" w:rsidP="00032100">
            <w:pPr>
              <w:jc w:val="center"/>
              <w:rPr>
                <w:b/>
                <w:i/>
                <w:iCs/>
              </w:rPr>
            </w:pPr>
            <w:r>
              <w:rPr>
                <w:b/>
                <w:i/>
                <w:iCs/>
              </w:rPr>
              <w:t>142</w:t>
            </w:r>
          </w:p>
        </w:tc>
      </w:tr>
      <w:tr w:rsidR="00032100" w:rsidRPr="001C77E3"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r w:rsidRPr="001C77E3">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cementējamā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64</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hibrīdtipa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3</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gūžas </w:t>
            </w:r>
            <w:proofErr w:type="spellStart"/>
            <w:r w:rsidRPr="001C77E3">
              <w:t>bezcementa</w:t>
            </w:r>
            <w:proofErr w:type="spellEnd"/>
            <w:r w:rsidRPr="001C77E3">
              <w:t xml:space="preserve">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274"/>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ceļa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275"/>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elkoņa loc. daļēja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5</w:t>
            </w:r>
          </w:p>
        </w:tc>
      </w:tr>
      <w:tr w:rsidR="00032100" w:rsidRPr="001C77E3" w:rsidTr="00032100">
        <w:trPr>
          <w:trHeight w:val="275"/>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pleca locītavas </w:t>
            </w:r>
            <w:proofErr w:type="spellStart"/>
            <w:r w:rsidRPr="001C77E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26</w:t>
            </w:r>
          </w:p>
        </w:tc>
      </w:tr>
      <w:tr w:rsidR="00032100" w:rsidRPr="001C77E3"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1C77E3" w:rsidRDefault="00032100" w:rsidP="00032100">
            <w:pPr>
              <w:jc w:val="right"/>
              <w:rPr>
                <w:i/>
                <w:iCs/>
              </w:rPr>
            </w:pPr>
            <w:r w:rsidRPr="001C77E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1C77E3" w:rsidRDefault="00032100" w:rsidP="00032100">
            <w:pPr>
              <w:jc w:val="center"/>
              <w:rPr>
                <w:b/>
                <w:i/>
                <w:iCs/>
              </w:rPr>
            </w:pPr>
            <w:r>
              <w:rPr>
                <w:b/>
                <w:i/>
                <w:iCs/>
              </w:rPr>
              <w:t>98</w:t>
            </w:r>
          </w:p>
        </w:tc>
      </w:tr>
      <w:tr w:rsidR="00032100" w:rsidRPr="001C77E3" w:rsidTr="00032100">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32100" w:rsidRPr="001C77E3" w:rsidRDefault="00032100" w:rsidP="00032100">
            <w:pPr>
              <w:rPr>
                <w:b/>
                <w:bCs/>
              </w:rPr>
            </w:pPr>
            <w:r w:rsidRPr="001C77E3">
              <w:rPr>
                <w:b/>
                <w:bCs/>
              </w:rPr>
              <w:t xml:space="preserve">Pavisam kopā primārās </w:t>
            </w:r>
            <w:proofErr w:type="spellStart"/>
            <w:r w:rsidRPr="001C77E3">
              <w:rPr>
                <w:b/>
                <w:bCs/>
              </w:rPr>
              <w:t>endoprotezēšanas</w:t>
            </w:r>
            <w:proofErr w:type="spellEnd"/>
            <w:r w:rsidRPr="001C77E3">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1C77E3" w:rsidRDefault="00032100" w:rsidP="00032100">
            <w:pPr>
              <w:jc w:val="center"/>
              <w:rPr>
                <w:b/>
                <w:bCs/>
                <w:i/>
              </w:rPr>
            </w:pPr>
            <w:r>
              <w:rPr>
                <w:b/>
                <w:bCs/>
                <w:i/>
              </w:rPr>
              <w:t>841</w:t>
            </w:r>
          </w:p>
        </w:tc>
      </w:tr>
      <w:tr w:rsidR="00032100" w:rsidRPr="001C77E3"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r w:rsidRPr="001C77E3">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289</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53</w:t>
            </w: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 xml:space="preserve">elkoņa </w:t>
            </w:r>
            <w:r>
              <w:t xml:space="preserve">loc. revīzijas  </w:t>
            </w:r>
            <w:r w:rsidRPr="001C77E3">
              <w:t>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p>
        </w:tc>
      </w:tr>
      <w:tr w:rsidR="00032100" w:rsidRPr="001C77E3"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32100" w:rsidRPr="001C77E3" w:rsidRDefault="00032100" w:rsidP="00032100">
            <w:pPr>
              <w:jc w:val="center"/>
            </w:pPr>
          </w:p>
        </w:tc>
        <w:tc>
          <w:tcPr>
            <w:tcW w:w="3495" w:type="dxa"/>
            <w:tcBorders>
              <w:top w:val="single" w:sz="4" w:space="0" w:color="auto"/>
              <w:left w:val="single" w:sz="4" w:space="0" w:color="auto"/>
              <w:bottom w:val="single" w:sz="4" w:space="0" w:color="auto"/>
              <w:right w:val="single" w:sz="4" w:space="0" w:color="auto"/>
            </w:tcBorders>
            <w:noWrap/>
          </w:tcPr>
          <w:p w:rsidR="00032100" w:rsidRPr="001C77E3" w:rsidRDefault="00032100" w:rsidP="00032100">
            <w:r w:rsidRPr="001C77E3">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32100" w:rsidRPr="001C77E3" w:rsidRDefault="00032100" w:rsidP="00032100">
            <w:pPr>
              <w:jc w:val="center"/>
            </w:pPr>
            <w:r>
              <w:t>1</w:t>
            </w:r>
          </w:p>
        </w:tc>
      </w:tr>
      <w:tr w:rsidR="00032100" w:rsidRPr="001C77E3"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2100" w:rsidRPr="001C77E3" w:rsidRDefault="00032100" w:rsidP="00032100">
            <w:pPr>
              <w:jc w:val="right"/>
              <w:rPr>
                <w:i/>
                <w:iCs/>
              </w:rPr>
            </w:pPr>
            <w:r w:rsidRPr="001C77E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1C77E3" w:rsidRDefault="00032100" w:rsidP="00032100">
            <w:pPr>
              <w:jc w:val="center"/>
              <w:rPr>
                <w:b/>
                <w:i/>
                <w:iCs/>
              </w:rPr>
            </w:pPr>
            <w:r>
              <w:rPr>
                <w:b/>
                <w:i/>
                <w:iCs/>
              </w:rPr>
              <w:t>343</w:t>
            </w:r>
          </w:p>
        </w:tc>
      </w:tr>
      <w:tr w:rsidR="00032100" w:rsidRPr="001C77E3" w:rsidTr="00032100">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2100" w:rsidRPr="001C77E3" w:rsidRDefault="00032100" w:rsidP="00032100">
            <w:pPr>
              <w:rPr>
                <w:b/>
                <w:bCs/>
              </w:rPr>
            </w:pPr>
            <w:r w:rsidRPr="001C77E3">
              <w:rPr>
                <w:b/>
                <w:bCs/>
              </w:rPr>
              <w:t xml:space="preserve">Kopā  </w:t>
            </w:r>
            <w:proofErr w:type="spellStart"/>
            <w:r w:rsidRPr="001C77E3">
              <w:rPr>
                <w:b/>
                <w:bCs/>
              </w:rPr>
              <w:t>endoprotezēšanas</w:t>
            </w:r>
            <w:proofErr w:type="spellEnd"/>
            <w:r w:rsidRPr="001C77E3">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1C77E3" w:rsidRDefault="00032100" w:rsidP="00032100">
            <w:pPr>
              <w:jc w:val="center"/>
              <w:rPr>
                <w:b/>
                <w:bCs/>
              </w:rPr>
            </w:pPr>
            <w:r>
              <w:rPr>
                <w:b/>
                <w:bCs/>
              </w:rPr>
              <w:t>1 184</w:t>
            </w:r>
          </w:p>
        </w:tc>
      </w:tr>
    </w:tbl>
    <w:p w:rsidR="00032100" w:rsidRPr="001C77E3" w:rsidRDefault="00032100" w:rsidP="00032100">
      <w:pPr>
        <w:tabs>
          <w:tab w:val="num" w:pos="142"/>
        </w:tabs>
        <w:rPr>
          <w:b/>
          <w:u w:val="single"/>
        </w:rPr>
      </w:pPr>
    </w:p>
    <w:p w:rsidR="00110BF2" w:rsidRDefault="00110BF2" w:rsidP="009678D5">
      <w:pPr>
        <w:tabs>
          <w:tab w:val="num" w:pos="142"/>
        </w:tabs>
        <w:rPr>
          <w:b/>
          <w:u w:val="single"/>
        </w:rPr>
      </w:pPr>
    </w:p>
    <w:p w:rsidR="00032100" w:rsidRDefault="00032100" w:rsidP="00032100">
      <w:pPr>
        <w:jc w:val="both"/>
        <w:rPr>
          <w:b/>
          <w:bCs/>
          <w:u w:val="single"/>
        </w:rPr>
      </w:pPr>
    </w:p>
    <w:p w:rsidR="00032100" w:rsidRPr="001C77E3" w:rsidRDefault="00032100" w:rsidP="00032100">
      <w:pPr>
        <w:jc w:val="both"/>
        <w:rPr>
          <w:b/>
          <w:u w:val="single"/>
        </w:rPr>
      </w:pPr>
      <w:r w:rsidRPr="001C77E3">
        <w:rPr>
          <w:b/>
          <w:bCs/>
          <w:u w:val="single"/>
        </w:rPr>
        <w:t xml:space="preserve">Statistika par ārstēto un operēto  pacientu sastāvu  pēc diagnožu profiliem </w:t>
      </w:r>
      <w:r w:rsidRPr="001C77E3">
        <w:rPr>
          <w:b/>
          <w:u w:val="single"/>
        </w:rPr>
        <w:t>201</w:t>
      </w:r>
      <w:r>
        <w:rPr>
          <w:b/>
          <w:u w:val="single"/>
        </w:rPr>
        <w:t>8</w:t>
      </w:r>
      <w:r w:rsidRPr="001C77E3">
        <w:rPr>
          <w:b/>
          <w:u w:val="single"/>
        </w:rPr>
        <w:t>. gada janvārī –</w:t>
      </w:r>
      <w:r>
        <w:rPr>
          <w:b/>
          <w:u w:val="single"/>
        </w:rPr>
        <w:t>jūnijā</w:t>
      </w:r>
    </w:p>
    <w:p w:rsidR="00032100" w:rsidRPr="001C77E3" w:rsidRDefault="00032100" w:rsidP="00032100">
      <w:pPr>
        <w:jc w:val="both"/>
      </w:pPr>
    </w:p>
    <w:tbl>
      <w:tblPr>
        <w:tblStyle w:val="Reatabula"/>
        <w:tblW w:w="7845" w:type="dxa"/>
        <w:tblLook w:val="00A0" w:firstRow="1" w:lastRow="0" w:firstColumn="1" w:lastColumn="0" w:noHBand="0" w:noVBand="0"/>
      </w:tblPr>
      <w:tblGrid>
        <w:gridCol w:w="1265"/>
        <w:gridCol w:w="761"/>
        <w:gridCol w:w="1027"/>
        <w:gridCol w:w="824"/>
        <w:gridCol w:w="972"/>
        <w:gridCol w:w="916"/>
        <w:gridCol w:w="915"/>
        <w:gridCol w:w="1165"/>
      </w:tblGrid>
      <w:tr w:rsidR="00032100" w:rsidRPr="001C77E3" w:rsidTr="00032100">
        <w:trPr>
          <w:trHeight w:val="720"/>
        </w:trPr>
        <w:tc>
          <w:tcPr>
            <w:tcW w:w="1265" w:type="dxa"/>
            <w:shd w:val="clear" w:color="auto" w:fill="D9D9D9" w:themeFill="background1" w:themeFillShade="D9"/>
            <w:vAlign w:val="center"/>
            <w:hideMark/>
          </w:tcPr>
          <w:p w:rsidR="00032100" w:rsidRPr="001C77E3" w:rsidRDefault="00032100" w:rsidP="00032100">
            <w:pPr>
              <w:jc w:val="center"/>
              <w:rPr>
                <w:bCs/>
              </w:rPr>
            </w:pPr>
            <w:r w:rsidRPr="001C77E3">
              <w:rPr>
                <w:bCs/>
              </w:rPr>
              <w:t>Ārstēto pacientu sastāvs</w:t>
            </w:r>
          </w:p>
        </w:tc>
        <w:tc>
          <w:tcPr>
            <w:tcW w:w="761" w:type="dxa"/>
            <w:shd w:val="clear" w:color="auto" w:fill="D9D9D9" w:themeFill="background1" w:themeFillShade="D9"/>
            <w:vAlign w:val="center"/>
            <w:hideMark/>
          </w:tcPr>
          <w:p w:rsidR="00032100" w:rsidRPr="001C77E3" w:rsidRDefault="00032100" w:rsidP="00032100">
            <w:pPr>
              <w:jc w:val="center"/>
              <w:rPr>
                <w:bCs/>
              </w:rPr>
            </w:pPr>
            <w:r w:rsidRPr="001C77E3">
              <w:rPr>
                <w:bCs/>
              </w:rPr>
              <w:t>KOPĀ</w:t>
            </w:r>
          </w:p>
        </w:tc>
        <w:tc>
          <w:tcPr>
            <w:tcW w:w="1027" w:type="dxa"/>
            <w:shd w:val="clear" w:color="auto" w:fill="D9D9D9" w:themeFill="background1" w:themeFillShade="D9"/>
            <w:vAlign w:val="center"/>
            <w:hideMark/>
          </w:tcPr>
          <w:p w:rsidR="00032100" w:rsidRPr="001C77E3" w:rsidRDefault="00032100" w:rsidP="00032100">
            <w:pPr>
              <w:jc w:val="center"/>
              <w:rPr>
                <w:bCs/>
              </w:rPr>
            </w:pPr>
            <w:r w:rsidRPr="001C77E3">
              <w:rPr>
                <w:bCs/>
              </w:rPr>
              <w:t>Vidējais ārstēšanas ilgums</w:t>
            </w:r>
          </w:p>
        </w:tc>
        <w:tc>
          <w:tcPr>
            <w:tcW w:w="824" w:type="dxa"/>
            <w:shd w:val="clear" w:color="auto" w:fill="D9D9D9" w:themeFill="background1" w:themeFillShade="D9"/>
            <w:vAlign w:val="center"/>
            <w:hideMark/>
          </w:tcPr>
          <w:p w:rsidR="00032100" w:rsidRPr="001C77E3" w:rsidRDefault="00032100" w:rsidP="00032100">
            <w:pPr>
              <w:jc w:val="center"/>
              <w:rPr>
                <w:bCs/>
              </w:rPr>
            </w:pPr>
            <w:r w:rsidRPr="001C77E3">
              <w:rPr>
                <w:bCs/>
              </w:rPr>
              <w:t>Miruši</w:t>
            </w:r>
          </w:p>
        </w:tc>
        <w:tc>
          <w:tcPr>
            <w:tcW w:w="972" w:type="dxa"/>
            <w:shd w:val="clear" w:color="auto" w:fill="D9D9D9" w:themeFill="background1" w:themeFillShade="D9"/>
            <w:vAlign w:val="center"/>
            <w:hideMark/>
          </w:tcPr>
          <w:p w:rsidR="00032100" w:rsidRPr="001C77E3" w:rsidRDefault="00032100" w:rsidP="00032100">
            <w:pPr>
              <w:jc w:val="center"/>
              <w:rPr>
                <w:bCs/>
              </w:rPr>
            </w:pPr>
            <w:proofErr w:type="spellStart"/>
            <w:r w:rsidRPr="001C77E3">
              <w:rPr>
                <w:bCs/>
              </w:rPr>
              <w:t>Letalitāte</w:t>
            </w:r>
            <w:proofErr w:type="spellEnd"/>
            <w:r w:rsidRPr="001C77E3">
              <w:rPr>
                <w:bCs/>
              </w:rPr>
              <w:t xml:space="preserve"> %</w:t>
            </w:r>
          </w:p>
        </w:tc>
        <w:tc>
          <w:tcPr>
            <w:tcW w:w="916" w:type="dxa"/>
            <w:shd w:val="clear" w:color="auto" w:fill="D9D9D9" w:themeFill="background1" w:themeFillShade="D9"/>
            <w:vAlign w:val="center"/>
            <w:hideMark/>
          </w:tcPr>
          <w:p w:rsidR="00032100" w:rsidRPr="001C77E3" w:rsidRDefault="00032100" w:rsidP="00032100">
            <w:pPr>
              <w:jc w:val="center"/>
              <w:rPr>
                <w:bCs/>
              </w:rPr>
            </w:pPr>
            <w:r w:rsidRPr="001C77E3">
              <w:rPr>
                <w:bCs/>
              </w:rPr>
              <w:t>Operēto pacientu skaits</w:t>
            </w:r>
          </w:p>
        </w:tc>
        <w:tc>
          <w:tcPr>
            <w:tcW w:w="915" w:type="dxa"/>
            <w:shd w:val="clear" w:color="auto" w:fill="D9D9D9" w:themeFill="background1" w:themeFillShade="D9"/>
            <w:vAlign w:val="center"/>
            <w:hideMark/>
          </w:tcPr>
          <w:p w:rsidR="00032100" w:rsidRPr="001C77E3" w:rsidRDefault="00032100" w:rsidP="00032100">
            <w:pPr>
              <w:jc w:val="center"/>
              <w:rPr>
                <w:bCs/>
              </w:rPr>
            </w:pPr>
            <w:r w:rsidRPr="001C77E3">
              <w:rPr>
                <w:bCs/>
              </w:rPr>
              <w:t>Operēto pacientu skaits     %</w:t>
            </w:r>
          </w:p>
        </w:tc>
        <w:tc>
          <w:tcPr>
            <w:tcW w:w="1165" w:type="dxa"/>
            <w:shd w:val="clear" w:color="auto" w:fill="D9D9D9" w:themeFill="background1" w:themeFillShade="D9"/>
            <w:vAlign w:val="center"/>
            <w:hideMark/>
          </w:tcPr>
          <w:p w:rsidR="00032100" w:rsidRPr="001C77E3" w:rsidRDefault="00032100" w:rsidP="00032100">
            <w:pPr>
              <w:jc w:val="center"/>
              <w:rPr>
                <w:bCs/>
              </w:rPr>
            </w:pPr>
            <w:r w:rsidRPr="001C77E3">
              <w:rPr>
                <w:bCs/>
              </w:rPr>
              <w:t>Operāciju skaits</w:t>
            </w:r>
          </w:p>
        </w:tc>
      </w:tr>
      <w:tr w:rsidR="00032100" w:rsidRPr="001C77E3" w:rsidTr="00032100">
        <w:trPr>
          <w:trHeight w:val="509"/>
        </w:trPr>
        <w:tc>
          <w:tcPr>
            <w:tcW w:w="1265" w:type="dxa"/>
            <w:hideMark/>
          </w:tcPr>
          <w:p w:rsidR="00032100" w:rsidRPr="001C77E3" w:rsidRDefault="00032100" w:rsidP="00032100">
            <w:pPr>
              <w:rPr>
                <w:bCs/>
              </w:rPr>
            </w:pPr>
            <w:r w:rsidRPr="001C77E3">
              <w:rPr>
                <w:bCs/>
              </w:rPr>
              <w:t>Ārstētie pacienti</w:t>
            </w:r>
          </w:p>
        </w:tc>
        <w:tc>
          <w:tcPr>
            <w:tcW w:w="761" w:type="dxa"/>
            <w:vAlign w:val="center"/>
          </w:tcPr>
          <w:p w:rsidR="00032100" w:rsidRPr="001C77E3" w:rsidRDefault="00032100" w:rsidP="00032100">
            <w:pPr>
              <w:jc w:val="center"/>
            </w:pPr>
            <w:r>
              <w:t>3 742</w:t>
            </w:r>
          </w:p>
        </w:tc>
        <w:tc>
          <w:tcPr>
            <w:tcW w:w="1027" w:type="dxa"/>
            <w:vAlign w:val="center"/>
          </w:tcPr>
          <w:p w:rsidR="00032100" w:rsidRPr="002F1DC5" w:rsidRDefault="00032100" w:rsidP="00032100">
            <w:pPr>
              <w:jc w:val="center"/>
            </w:pPr>
            <w:r>
              <w:t>6.57</w:t>
            </w:r>
          </w:p>
        </w:tc>
        <w:tc>
          <w:tcPr>
            <w:tcW w:w="824" w:type="dxa"/>
            <w:vAlign w:val="center"/>
          </w:tcPr>
          <w:p w:rsidR="00032100" w:rsidRPr="001C77E3" w:rsidRDefault="00032100" w:rsidP="00032100">
            <w:pPr>
              <w:jc w:val="center"/>
            </w:pPr>
            <w:r>
              <w:t>9</w:t>
            </w:r>
          </w:p>
        </w:tc>
        <w:tc>
          <w:tcPr>
            <w:tcW w:w="972" w:type="dxa"/>
            <w:vAlign w:val="center"/>
          </w:tcPr>
          <w:p w:rsidR="00032100" w:rsidRPr="001C77E3" w:rsidRDefault="00032100" w:rsidP="00032100">
            <w:pPr>
              <w:jc w:val="center"/>
            </w:pPr>
            <w:r>
              <w:t>0.24</w:t>
            </w:r>
          </w:p>
        </w:tc>
        <w:tc>
          <w:tcPr>
            <w:tcW w:w="916" w:type="dxa"/>
            <w:vAlign w:val="center"/>
          </w:tcPr>
          <w:p w:rsidR="00032100" w:rsidRPr="001C77E3" w:rsidRDefault="00032100" w:rsidP="00032100">
            <w:pPr>
              <w:jc w:val="center"/>
            </w:pPr>
            <w:r>
              <w:t>3 412</w:t>
            </w:r>
          </w:p>
        </w:tc>
        <w:tc>
          <w:tcPr>
            <w:tcW w:w="915" w:type="dxa"/>
            <w:vAlign w:val="center"/>
          </w:tcPr>
          <w:p w:rsidR="00032100" w:rsidRPr="002F1DC5" w:rsidRDefault="00032100" w:rsidP="00032100">
            <w:pPr>
              <w:jc w:val="center"/>
            </w:pPr>
            <w:r w:rsidRPr="002F1DC5">
              <w:t>91.18</w:t>
            </w:r>
          </w:p>
        </w:tc>
        <w:tc>
          <w:tcPr>
            <w:tcW w:w="1165" w:type="dxa"/>
            <w:vAlign w:val="center"/>
          </w:tcPr>
          <w:p w:rsidR="00032100" w:rsidRPr="001C77E3" w:rsidRDefault="00032100" w:rsidP="00032100">
            <w:pPr>
              <w:jc w:val="center"/>
            </w:pPr>
            <w:r>
              <w:t>5 700</w:t>
            </w:r>
          </w:p>
        </w:tc>
      </w:tr>
      <w:tr w:rsidR="00032100" w:rsidRPr="001C77E3" w:rsidTr="00032100">
        <w:trPr>
          <w:trHeight w:val="525"/>
        </w:trPr>
        <w:tc>
          <w:tcPr>
            <w:tcW w:w="1265" w:type="dxa"/>
            <w:hideMark/>
          </w:tcPr>
          <w:p w:rsidR="00032100" w:rsidRPr="001C77E3" w:rsidRDefault="00032100" w:rsidP="00032100">
            <w:r w:rsidRPr="001C77E3">
              <w:t>Traumu profils</w:t>
            </w:r>
          </w:p>
        </w:tc>
        <w:tc>
          <w:tcPr>
            <w:tcW w:w="761" w:type="dxa"/>
            <w:vAlign w:val="center"/>
          </w:tcPr>
          <w:p w:rsidR="00032100" w:rsidRPr="001C77E3" w:rsidRDefault="00032100" w:rsidP="00032100">
            <w:pPr>
              <w:jc w:val="center"/>
            </w:pPr>
            <w:r>
              <w:t>1 625</w:t>
            </w:r>
          </w:p>
        </w:tc>
        <w:tc>
          <w:tcPr>
            <w:tcW w:w="1027" w:type="dxa"/>
            <w:vAlign w:val="center"/>
          </w:tcPr>
          <w:p w:rsidR="00032100" w:rsidRPr="002F1DC5" w:rsidRDefault="00032100" w:rsidP="00032100">
            <w:pPr>
              <w:jc w:val="center"/>
            </w:pPr>
            <w:r w:rsidRPr="002F1DC5">
              <w:t>5.32</w:t>
            </w:r>
          </w:p>
        </w:tc>
        <w:tc>
          <w:tcPr>
            <w:tcW w:w="824" w:type="dxa"/>
            <w:vAlign w:val="center"/>
          </w:tcPr>
          <w:p w:rsidR="00032100" w:rsidRPr="001C77E3" w:rsidRDefault="00032100" w:rsidP="00032100">
            <w:pPr>
              <w:jc w:val="center"/>
            </w:pPr>
            <w:r>
              <w:t>3</w:t>
            </w:r>
          </w:p>
        </w:tc>
        <w:tc>
          <w:tcPr>
            <w:tcW w:w="972" w:type="dxa"/>
            <w:vAlign w:val="center"/>
          </w:tcPr>
          <w:p w:rsidR="00032100" w:rsidRPr="001C77E3" w:rsidRDefault="00032100" w:rsidP="00032100">
            <w:pPr>
              <w:jc w:val="center"/>
            </w:pPr>
            <w:r>
              <w:t>0.18</w:t>
            </w:r>
          </w:p>
        </w:tc>
        <w:tc>
          <w:tcPr>
            <w:tcW w:w="916" w:type="dxa"/>
            <w:vAlign w:val="center"/>
          </w:tcPr>
          <w:p w:rsidR="00032100" w:rsidRPr="001C77E3" w:rsidRDefault="00032100" w:rsidP="00032100">
            <w:pPr>
              <w:jc w:val="center"/>
            </w:pPr>
            <w:r>
              <w:t>1 419</w:t>
            </w:r>
          </w:p>
        </w:tc>
        <w:tc>
          <w:tcPr>
            <w:tcW w:w="915" w:type="dxa"/>
            <w:vAlign w:val="center"/>
          </w:tcPr>
          <w:p w:rsidR="00032100" w:rsidRPr="002F1DC5" w:rsidRDefault="00032100" w:rsidP="00032100">
            <w:pPr>
              <w:jc w:val="center"/>
            </w:pPr>
            <w:r w:rsidRPr="002F1DC5">
              <w:t>87.32</w:t>
            </w:r>
          </w:p>
        </w:tc>
        <w:tc>
          <w:tcPr>
            <w:tcW w:w="1165" w:type="dxa"/>
            <w:vAlign w:val="center"/>
          </w:tcPr>
          <w:p w:rsidR="00032100" w:rsidRPr="001C77E3" w:rsidRDefault="00032100" w:rsidP="00032100">
            <w:pPr>
              <w:jc w:val="center"/>
            </w:pPr>
            <w:r>
              <w:t>2 017</w:t>
            </w:r>
          </w:p>
        </w:tc>
      </w:tr>
      <w:tr w:rsidR="00032100" w:rsidRPr="001C77E3" w:rsidTr="00032100">
        <w:trPr>
          <w:trHeight w:val="525"/>
        </w:trPr>
        <w:tc>
          <w:tcPr>
            <w:tcW w:w="1265" w:type="dxa"/>
            <w:hideMark/>
          </w:tcPr>
          <w:p w:rsidR="00032100" w:rsidRPr="001C77E3" w:rsidRDefault="00032100" w:rsidP="00032100">
            <w:r w:rsidRPr="001C77E3">
              <w:t>Ortopēdijas profils</w:t>
            </w:r>
          </w:p>
        </w:tc>
        <w:tc>
          <w:tcPr>
            <w:tcW w:w="761" w:type="dxa"/>
            <w:vAlign w:val="center"/>
          </w:tcPr>
          <w:p w:rsidR="00032100" w:rsidRPr="001C77E3" w:rsidRDefault="00032100" w:rsidP="00032100">
            <w:pPr>
              <w:jc w:val="center"/>
            </w:pPr>
            <w:r>
              <w:t>1 855</w:t>
            </w:r>
          </w:p>
        </w:tc>
        <w:tc>
          <w:tcPr>
            <w:tcW w:w="1027" w:type="dxa"/>
            <w:vAlign w:val="center"/>
          </w:tcPr>
          <w:p w:rsidR="00032100" w:rsidRPr="002F1DC5" w:rsidRDefault="00032100" w:rsidP="00032100">
            <w:pPr>
              <w:jc w:val="center"/>
            </w:pPr>
            <w:r w:rsidRPr="002F1DC5">
              <w:t>6.82</w:t>
            </w:r>
          </w:p>
        </w:tc>
        <w:tc>
          <w:tcPr>
            <w:tcW w:w="824" w:type="dxa"/>
            <w:vAlign w:val="center"/>
          </w:tcPr>
          <w:p w:rsidR="00032100" w:rsidRPr="001C77E3" w:rsidRDefault="00032100" w:rsidP="00032100">
            <w:pPr>
              <w:jc w:val="center"/>
            </w:pPr>
            <w:r>
              <w:t>2</w:t>
            </w:r>
          </w:p>
        </w:tc>
        <w:tc>
          <w:tcPr>
            <w:tcW w:w="972" w:type="dxa"/>
            <w:vAlign w:val="center"/>
          </w:tcPr>
          <w:p w:rsidR="00032100" w:rsidRPr="001C77E3" w:rsidRDefault="00032100" w:rsidP="00032100">
            <w:pPr>
              <w:jc w:val="center"/>
            </w:pPr>
            <w:r>
              <w:t>0.11</w:t>
            </w:r>
          </w:p>
        </w:tc>
        <w:tc>
          <w:tcPr>
            <w:tcW w:w="916" w:type="dxa"/>
            <w:vAlign w:val="center"/>
          </w:tcPr>
          <w:p w:rsidR="00032100" w:rsidRPr="001C77E3" w:rsidRDefault="00032100" w:rsidP="00032100">
            <w:pPr>
              <w:jc w:val="center"/>
            </w:pPr>
            <w:r>
              <w:t>1 748</w:t>
            </w:r>
          </w:p>
        </w:tc>
        <w:tc>
          <w:tcPr>
            <w:tcW w:w="915" w:type="dxa"/>
            <w:vAlign w:val="center"/>
          </w:tcPr>
          <w:p w:rsidR="00032100" w:rsidRPr="002F1DC5" w:rsidRDefault="00032100" w:rsidP="00032100">
            <w:pPr>
              <w:jc w:val="center"/>
            </w:pPr>
            <w:r>
              <w:t>94.23</w:t>
            </w:r>
          </w:p>
        </w:tc>
        <w:tc>
          <w:tcPr>
            <w:tcW w:w="1165" w:type="dxa"/>
            <w:vAlign w:val="center"/>
          </w:tcPr>
          <w:p w:rsidR="00032100" w:rsidRPr="001C77E3" w:rsidRDefault="00032100" w:rsidP="00032100">
            <w:pPr>
              <w:jc w:val="center"/>
            </w:pPr>
            <w:r>
              <w:t>3 111</w:t>
            </w:r>
          </w:p>
        </w:tc>
      </w:tr>
      <w:tr w:rsidR="00032100" w:rsidRPr="001C77E3" w:rsidTr="00032100">
        <w:trPr>
          <w:trHeight w:val="525"/>
        </w:trPr>
        <w:tc>
          <w:tcPr>
            <w:tcW w:w="1265" w:type="dxa"/>
            <w:hideMark/>
          </w:tcPr>
          <w:p w:rsidR="00032100" w:rsidRPr="001C77E3" w:rsidRDefault="00032100" w:rsidP="00032100">
            <w:r w:rsidRPr="001C77E3">
              <w:t>Strutainā ķirurģija</w:t>
            </w:r>
          </w:p>
        </w:tc>
        <w:tc>
          <w:tcPr>
            <w:tcW w:w="761" w:type="dxa"/>
            <w:noWrap/>
            <w:vAlign w:val="center"/>
          </w:tcPr>
          <w:p w:rsidR="00032100" w:rsidRPr="001C77E3" w:rsidRDefault="00032100" w:rsidP="00032100">
            <w:pPr>
              <w:jc w:val="center"/>
            </w:pPr>
            <w:r>
              <w:t>262</w:t>
            </w:r>
          </w:p>
        </w:tc>
        <w:tc>
          <w:tcPr>
            <w:tcW w:w="1027" w:type="dxa"/>
            <w:vAlign w:val="center"/>
          </w:tcPr>
          <w:p w:rsidR="00032100" w:rsidRPr="002F1DC5" w:rsidRDefault="00032100" w:rsidP="00032100">
            <w:pPr>
              <w:jc w:val="center"/>
            </w:pPr>
            <w:r>
              <w:t>12.49</w:t>
            </w:r>
          </w:p>
        </w:tc>
        <w:tc>
          <w:tcPr>
            <w:tcW w:w="824" w:type="dxa"/>
            <w:vAlign w:val="center"/>
          </w:tcPr>
          <w:p w:rsidR="00032100" w:rsidRPr="001C77E3" w:rsidRDefault="00032100" w:rsidP="00032100">
            <w:pPr>
              <w:jc w:val="center"/>
            </w:pPr>
            <w:r>
              <w:t>4</w:t>
            </w:r>
          </w:p>
        </w:tc>
        <w:tc>
          <w:tcPr>
            <w:tcW w:w="972" w:type="dxa"/>
            <w:vAlign w:val="center"/>
          </w:tcPr>
          <w:p w:rsidR="00032100" w:rsidRPr="001C77E3" w:rsidRDefault="00032100" w:rsidP="00032100">
            <w:pPr>
              <w:jc w:val="center"/>
            </w:pPr>
            <w:r>
              <w:t>1.53</w:t>
            </w:r>
          </w:p>
        </w:tc>
        <w:tc>
          <w:tcPr>
            <w:tcW w:w="916" w:type="dxa"/>
            <w:vAlign w:val="center"/>
          </w:tcPr>
          <w:p w:rsidR="00032100" w:rsidRPr="001C77E3" w:rsidRDefault="00032100" w:rsidP="00032100">
            <w:pPr>
              <w:jc w:val="center"/>
            </w:pPr>
            <w:r>
              <w:t>245</w:t>
            </w:r>
          </w:p>
        </w:tc>
        <w:tc>
          <w:tcPr>
            <w:tcW w:w="915" w:type="dxa"/>
            <w:vAlign w:val="center"/>
          </w:tcPr>
          <w:p w:rsidR="00032100" w:rsidRPr="002F1DC5" w:rsidRDefault="00032100" w:rsidP="00032100">
            <w:pPr>
              <w:jc w:val="center"/>
            </w:pPr>
            <w:r>
              <w:t>93.51</w:t>
            </w:r>
          </w:p>
        </w:tc>
        <w:tc>
          <w:tcPr>
            <w:tcW w:w="1165" w:type="dxa"/>
            <w:vAlign w:val="center"/>
          </w:tcPr>
          <w:p w:rsidR="00032100" w:rsidRPr="001C77E3" w:rsidRDefault="00032100" w:rsidP="00032100">
            <w:pPr>
              <w:jc w:val="center"/>
            </w:pPr>
            <w:r>
              <w:t>572</w:t>
            </w:r>
          </w:p>
        </w:tc>
      </w:tr>
    </w:tbl>
    <w:p w:rsidR="00032100" w:rsidRPr="001C77E3" w:rsidRDefault="00032100" w:rsidP="00032100">
      <w:pPr>
        <w:sectPr w:rsidR="00032100" w:rsidRPr="001C77E3">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032100" w:rsidRPr="001C77E3" w:rsidTr="00032100">
        <w:trPr>
          <w:trHeight w:val="315"/>
        </w:trPr>
        <w:tc>
          <w:tcPr>
            <w:tcW w:w="9920" w:type="dxa"/>
            <w:gridSpan w:val="10"/>
            <w:noWrap/>
            <w:vAlign w:val="bottom"/>
          </w:tcPr>
          <w:p w:rsidR="00032100" w:rsidRPr="001C77E3" w:rsidRDefault="00032100" w:rsidP="00032100">
            <w:pPr>
              <w:rPr>
                <w:b/>
                <w:bCs/>
                <w:u w:val="single"/>
              </w:rPr>
            </w:pPr>
            <w:r w:rsidRPr="001C77E3">
              <w:rPr>
                <w:b/>
                <w:bCs/>
                <w:u w:val="single"/>
              </w:rPr>
              <w:lastRenderedPageBreak/>
              <w:t xml:space="preserve">Sniegto </w:t>
            </w:r>
            <w:r>
              <w:rPr>
                <w:b/>
                <w:bCs/>
                <w:u w:val="single"/>
              </w:rPr>
              <w:t xml:space="preserve">valsts apmaksāto </w:t>
            </w:r>
            <w:r w:rsidRPr="001C77E3">
              <w:rPr>
                <w:b/>
                <w:bCs/>
                <w:u w:val="single"/>
              </w:rPr>
              <w:t xml:space="preserve">stacionāro pakalpojumu apjoms </w:t>
            </w:r>
            <w:r>
              <w:rPr>
                <w:b/>
                <w:u w:val="single"/>
              </w:rPr>
              <w:t>2018</w:t>
            </w:r>
            <w:r w:rsidRPr="001C77E3">
              <w:rPr>
                <w:b/>
                <w:u w:val="single"/>
              </w:rPr>
              <w:t xml:space="preserve">. gada janvārī - </w:t>
            </w:r>
            <w:r>
              <w:rPr>
                <w:b/>
                <w:u w:val="single"/>
              </w:rPr>
              <w:t>jūnijā</w:t>
            </w:r>
            <w:r w:rsidRPr="001C77E3">
              <w:rPr>
                <w:b/>
                <w:bCs/>
                <w:u w:val="single"/>
              </w:rPr>
              <w:t xml:space="preserve"> sadalījumā: plānveida un neatliekamā palīdzība</w:t>
            </w:r>
          </w:p>
        </w:tc>
        <w:tc>
          <w:tcPr>
            <w:tcW w:w="1300" w:type="dxa"/>
            <w:noWrap/>
            <w:vAlign w:val="bottom"/>
          </w:tcPr>
          <w:p w:rsidR="00032100" w:rsidRPr="001C77E3" w:rsidRDefault="00032100" w:rsidP="00032100">
            <w:pPr>
              <w:rPr>
                <w:b/>
                <w:bCs/>
                <w:u w:val="single"/>
              </w:rPr>
            </w:pPr>
          </w:p>
        </w:tc>
        <w:tc>
          <w:tcPr>
            <w:tcW w:w="1300" w:type="dxa"/>
            <w:noWrap/>
            <w:vAlign w:val="bottom"/>
          </w:tcPr>
          <w:p w:rsidR="00032100" w:rsidRPr="001C77E3" w:rsidRDefault="00032100" w:rsidP="00032100">
            <w:pPr>
              <w:rPr>
                <w:b/>
                <w:bCs/>
                <w:u w:val="single"/>
              </w:rPr>
            </w:pPr>
          </w:p>
        </w:tc>
        <w:tc>
          <w:tcPr>
            <w:tcW w:w="1420" w:type="dxa"/>
            <w:noWrap/>
            <w:vAlign w:val="bottom"/>
          </w:tcPr>
          <w:p w:rsidR="00032100" w:rsidRPr="001C77E3" w:rsidRDefault="00032100" w:rsidP="00032100">
            <w:pPr>
              <w:rPr>
                <w:b/>
                <w:bCs/>
                <w:u w:val="single"/>
              </w:rPr>
            </w:pPr>
          </w:p>
        </w:tc>
      </w:tr>
      <w:tr w:rsidR="00032100" w:rsidRPr="001C77E3" w:rsidTr="00032100">
        <w:trPr>
          <w:trHeight w:val="300"/>
        </w:trPr>
        <w:tc>
          <w:tcPr>
            <w:tcW w:w="1400" w:type="dxa"/>
            <w:noWrap/>
            <w:vAlign w:val="bottom"/>
          </w:tcPr>
          <w:p w:rsidR="00032100" w:rsidRPr="001C77E3" w:rsidRDefault="00032100" w:rsidP="00032100"/>
        </w:tc>
        <w:tc>
          <w:tcPr>
            <w:tcW w:w="1280" w:type="dxa"/>
            <w:noWrap/>
            <w:vAlign w:val="bottom"/>
          </w:tcPr>
          <w:p w:rsidR="00032100" w:rsidRPr="001C77E3" w:rsidRDefault="00032100" w:rsidP="00032100"/>
        </w:tc>
        <w:tc>
          <w:tcPr>
            <w:tcW w:w="1021" w:type="dxa"/>
            <w:gridSpan w:val="2"/>
            <w:noWrap/>
            <w:vAlign w:val="bottom"/>
          </w:tcPr>
          <w:p w:rsidR="00032100" w:rsidRPr="001C77E3" w:rsidRDefault="00032100" w:rsidP="00032100"/>
        </w:tc>
        <w:tc>
          <w:tcPr>
            <w:tcW w:w="1419" w:type="dxa"/>
            <w:gridSpan w:val="2"/>
            <w:noWrap/>
            <w:vAlign w:val="bottom"/>
          </w:tcPr>
          <w:p w:rsidR="00032100" w:rsidRPr="001C77E3" w:rsidRDefault="00032100" w:rsidP="00032100"/>
        </w:tc>
        <w:tc>
          <w:tcPr>
            <w:tcW w:w="849" w:type="dxa"/>
            <w:noWrap/>
            <w:vAlign w:val="bottom"/>
          </w:tcPr>
          <w:p w:rsidR="00032100" w:rsidRPr="001C77E3" w:rsidRDefault="00032100" w:rsidP="00032100"/>
        </w:tc>
        <w:tc>
          <w:tcPr>
            <w:tcW w:w="1551" w:type="dxa"/>
            <w:noWrap/>
            <w:vAlign w:val="bottom"/>
          </w:tcPr>
          <w:p w:rsidR="00032100" w:rsidRPr="001C77E3" w:rsidRDefault="00032100" w:rsidP="00032100"/>
        </w:tc>
        <w:tc>
          <w:tcPr>
            <w:tcW w:w="1100" w:type="dxa"/>
            <w:noWrap/>
            <w:vAlign w:val="bottom"/>
          </w:tcPr>
          <w:p w:rsidR="00032100" w:rsidRPr="001C77E3" w:rsidRDefault="00032100" w:rsidP="00032100"/>
        </w:tc>
        <w:tc>
          <w:tcPr>
            <w:tcW w:w="1300" w:type="dxa"/>
            <w:noWrap/>
            <w:vAlign w:val="bottom"/>
          </w:tcPr>
          <w:p w:rsidR="00032100" w:rsidRPr="001C77E3" w:rsidRDefault="00032100" w:rsidP="00032100"/>
        </w:tc>
        <w:tc>
          <w:tcPr>
            <w:tcW w:w="1300" w:type="dxa"/>
            <w:noWrap/>
            <w:vAlign w:val="bottom"/>
          </w:tcPr>
          <w:p w:rsidR="00032100" w:rsidRPr="001C77E3" w:rsidRDefault="00032100" w:rsidP="00032100"/>
        </w:tc>
        <w:tc>
          <w:tcPr>
            <w:tcW w:w="1300" w:type="dxa"/>
            <w:noWrap/>
            <w:vAlign w:val="bottom"/>
          </w:tcPr>
          <w:p w:rsidR="00032100" w:rsidRPr="001C77E3" w:rsidRDefault="00032100" w:rsidP="00032100"/>
        </w:tc>
        <w:tc>
          <w:tcPr>
            <w:tcW w:w="1420" w:type="dxa"/>
            <w:noWrap/>
            <w:vAlign w:val="bottom"/>
          </w:tcPr>
          <w:p w:rsidR="00032100" w:rsidRPr="001C77E3" w:rsidRDefault="00032100" w:rsidP="00032100"/>
        </w:tc>
      </w:tr>
      <w:tr w:rsidR="00032100" w:rsidRPr="001C77E3" w:rsidTr="0003210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Sniegto pakalpojumu īpatsvars neatliekamajai palīdzībai no kopā sniegtajiem pakalpojumiem %</w:t>
            </w:r>
          </w:p>
        </w:tc>
      </w:tr>
      <w:tr w:rsidR="00032100" w:rsidRPr="001C77E3" w:rsidTr="0003210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032100" w:rsidRPr="001C77E3" w:rsidRDefault="00032100" w:rsidP="00032100"/>
        </w:tc>
        <w:tc>
          <w:tcPr>
            <w:tcW w:w="1315" w:type="dxa"/>
            <w:gridSpan w:val="2"/>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Pacientu skaits</w:t>
            </w:r>
          </w:p>
        </w:tc>
        <w:tc>
          <w:tcPr>
            <w:tcW w:w="1354"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Nauda</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Nauda</w:t>
            </w:r>
          </w:p>
        </w:tc>
        <w:tc>
          <w:tcPr>
            <w:tcW w:w="1420" w:type="dxa"/>
            <w:tcBorders>
              <w:top w:val="nil"/>
              <w:left w:val="nil"/>
              <w:bottom w:val="single" w:sz="4" w:space="0" w:color="auto"/>
              <w:right w:val="single" w:sz="4" w:space="0" w:color="auto"/>
            </w:tcBorders>
            <w:shd w:val="clear" w:color="auto" w:fill="D9D9D9"/>
            <w:vAlign w:val="center"/>
            <w:hideMark/>
          </w:tcPr>
          <w:p w:rsidR="00032100" w:rsidRPr="001C77E3" w:rsidRDefault="00032100" w:rsidP="00032100">
            <w:pPr>
              <w:jc w:val="center"/>
            </w:pPr>
            <w:r w:rsidRPr="001C77E3">
              <w:t>Pacientu skaits</w:t>
            </w:r>
          </w:p>
        </w:tc>
      </w:tr>
      <w:tr w:rsidR="00032100" w:rsidRPr="001C77E3" w:rsidTr="00032100">
        <w:trPr>
          <w:trHeight w:val="606"/>
        </w:trPr>
        <w:tc>
          <w:tcPr>
            <w:tcW w:w="1400" w:type="dxa"/>
            <w:tcBorders>
              <w:top w:val="nil"/>
              <w:left w:val="single" w:sz="4" w:space="0" w:color="auto"/>
              <w:bottom w:val="single" w:sz="4" w:space="0" w:color="auto"/>
              <w:right w:val="single" w:sz="4" w:space="0" w:color="auto"/>
            </w:tcBorders>
            <w:noWrap/>
            <w:vAlign w:val="center"/>
            <w:hideMark/>
          </w:tcPr>
          <w:p w:rsidR="00032100" w:rsidRPr="001C77E3" w:rsidRDefault="00032100" w:rsidP="00032100">
            <w:pPr>
              <w:jc w:val="center"/>
            </w:pPr>
            <w:r>
              <w:t>2018. gada janvārī - jūnijā</w:t>
            </w:r>
          </w:p>
        </w:tc>
        <w:tc>
          <w:tcPr>
            <w:tcW w:w="1315" w:type="dxa"/>
            <w:gridSpan w:val="2"/>
            <w:tcBorders>
              <w:top w:val="nil"/>
              <w:left w:val="nil"/>
              <w:bottom w:val="single" w:sz="4" w:space="0" w:color="auto"/>
              <w:right w:val="single" w:sz="4" w:space="0" w:color="auto"/>
            </w:tcBorders>
            <w:noWrap/>
            <w:vAlign w:val="center"/>
          </w:tcPr>
          <w:p w:rsidR="00032100" w:rsidRPr="001C77E3" w:rsidRDefault="00032100" w:rsidP="00032100">
            <w:pPr>
              <w:jc w:val="center"/>
            </w:pPr>
            <w:r>
              <w:t>3</w:t>
            </w:r>
            <w:r w:rsidR="00F275CA">
              <w:t xml:space="preserve"> </w:t>
            </w:r>
            <w:r>
              <w:t>176</w:t>
            </w:r>
            <w:r w:rsidR="00F275CA">
              <w:t xml:space="preserve"> </w:t>
            </w:r>
            <w:r>
              <w:t>403</w:t>
            </w:r>
          </w:p>
        </w:tc>
        <w:tc>
          <w:tcPr>
            <w:tcW w:w="986" w:type="dxa"/>
            <w:tcBorders>
              <w:top w:val="nil"/>
              <w:left w:val="nil"/>
              <w:bottom w:val="single" w:sz="4" w:space="0" w:color="auto"/>
              <w:right w:val="single" w:sz="4" w:space="0" w:color="auto"/>
            </w:tcBorders>
            <w:noWrap/>
            <w:vAlign w:val="center"/>
          </w:tcPr>
          <w:p w:rsidR="00032100" w:rsidRPr="001C77E3" w:rsidRDefault="00032100" w:rsidP="00032100">
            <w:pPr>
              <w:jc w:val="center"/>
            </w:pPr>
            <w:r>
              <w:t>1</w:t>
            </w:r>
            <w:r w:rsidR="00F275CA">
              <w:t xml:space="preserve"> </w:t>
            </w:r>
            <w:r>
              <w:t>744</w:t>
            </w:r>
          </w:p>
        </w:tc>
        <w:tc>
          <w:tcPr>
            <w:tcW w:w="1354" w:type="dxa"/>
            <w:tcBorders>
              <w:top w:val="nil"/>
              <w:left w:val="nil"/>
              <w:bottom w:val="single" w:sz="4" w:space="0" w:color="auto"/>
              <w:right w:val="single" w:sz="4" w:space="0" w:color="auto"/>
            </w:tcBorders>
            <w:noWrap/>
            <w:vAlign w:val="center"/>
          </w:tcPr>
          <w:p w:rsidR="00032100" w:rsidRPr="00454061" w:rsidRDefault="00032100" w:rsidP="00032100">
            <w:pPr>
              <w:jc w:val="center"/>
            </w:pPr>
            <w:r w:rsidRPr="00454061">
              <w:t>1</w:t>
            </w:r>
            <w:r w:rsidR="00F275CA">
              <w:t xml:space="preserve"> </w:t>
            </w:r>
            <w:r w:rsidRPr="00454061">
              <w:t>599</w:t>
            </w:r>
            <w:r w:rsidR="00F275CA">
              <w:t xml:space="preserve"> </w:t>
            </w:r>
            <w:r w:rsidRPr="00454061">
              <w:t>187</w:t>
            </w:r>
          </w:p>
        </w:tc>
        <w:tc>
          <w:tcPr>
            <w:tcW w:w="914" w:type="dxa"/>
            <w:gridSpan w:val="2"/>
            <w:tcBorders>
              <w:top w:val="nil"/>
              <w:left w:val="nil"/>
              <w:bottom w:val="single" w:sz="4" w:space="0" w:color="auto"/>
              <w:right w:val="single" w:sz="4" w:space="0" w:color="auto"/>
            </w:tcBorders>
            <w:noWrap/>
            <w:vAlign w:val="center"/>
          </w:tcPr>
          <w:p w:rsidR="00032100" w:rsidRPr="00454061" w:rsidRDefault="00032100" w:rsidP="00032100">
            <w:pPr>
              <w:jc w:val="center"/>
            </w:pPr>
            <w:r w:rsidRPr="00454061">
              <w:t>1</w:t>
            </w:r>
            <w:r w:rsidR="00F275CA">
              <w:t xml:space="preserve"> </w:t>
            </w:r>
            <w:r w:rsidRPr="00454061">
              <w:t>622</w:t>
            </w:r>
          </w:p>
        </w:tc>
        <w:tc>
          <w:tcPr>
            <w:tcW w:w="1551" w:type="dxa"/>
            <w:tcBorders>
              <w:top w:val="nil"/>
              <w:left w:val="nil"/>
              <w:bottom w:val="single" w:sz="4" w:space="0" w:color="auto"/>
              <w:right w:val="single" w:sz="4" w:space="0" w:color="auto"/>
            </w:tcBorders>
            <w:noWrap/>
            <w:vAlign w:val="center"/>
          </w:tcPr>
          <w:p w:rsidR="00032100" w:rsidRPr="001C77E3" w:rsidRDefault="00032100" w:rsidP="00032100">
            <w:pPr>
              <w:jc w:val="center"/>
            </w:pPr>
            <w:r>
              <w:t>4</w:t>
            </w:r>
            <w:r w:rsidR="00F275CA">
              <w:t xml:space="preserve"> </w:t>
            </w:r>
            <w:r>
              <w:t>775</w:t>
            </w:r>
            <w:r w:rsidR="00F275CA">
              <w:t xml:space="preserve"> </w:t>
            </w:r>
            <w:r>
              <w:t>590</w:t>
            </w:r>
          </w:p>
        </w:tc>
        <w:tc>
          <w:tcPr>
            <w:tcW w:w="1100" w:type="dxa"/>
            <w:tcBorders>
              <w:top w:val="nil"/>
              <w:left w:val="nil"/>
              <w:bottom w:val="single" w:sz="4" w:space="0" w:color="auto"/>
              <w:right w:val="single" w:sz="4" w:space="0" w:color="auto"/>
            </w:tcBorders>
            <w:noWrap/>
            <w:vAlign w:val="center"/>
          </w:tcPr>
          <w:p w:rsidR="00032100" w:rsidRPr="001C77E3" w:rsidRDefault="00032100" w:rsidP="00032100">
            <w:pPr>
              <w:jc w:val="center"/>
            </w:pPr>
            <w:r>
              <w:t>3</w:t>
            </w:r>
            <w:r w:rsidR="00F275CA">
              <w:t xml:space="preserve"> </w:t>
            </w:r>
            <w:r>
              <w:t>366</w:t>
            </w:r>
          </w:p>
        </w:tc>
        <w:tc>
          <w:tcPr>
            <w:tcW w:w="1300" w:type="dxa"/>
            <w:tcBorders>
              <w:top w:val="nil"/>
              <w:left w:val="nil"/>
              <w:bottom w:val="single" w:sz="4" w:space="0" w:color="auto"/>
              <w:right w:val="single" w:sz="4" w:space="0" w:color="auto"/>
            </w:tcBorders>
            <w:noWrap/>
            <w:vAlign w:val="center"/>
          </w:tcPr>
          <w:p w:rsidR="00032100" w:rsidRPr="00562175" w:rsidRDefault="00032100" w:rsidP="00032100">
            <w:pPr>
              <w:jc w:val="center"/>
            </w:pPr>
            <w:r>
              <w:t>66.51</w:t>
            </w:r>
          </w:p>
        </w:tc>
        <w:tc>
          <w:tcPr>
            <w:tcW w:w="1300" w:type="dxa"/>
            <w:tcBorders>
              <w:top w:val="nil"/>
              <w:left w:val="nil"/>
              <w:bottom w:val="single" w:sz="4" w:space="0" w:color="auto"/>
              <w:right w:val="single" w:sz="4" w:space="0" w:color="auto"/>
            </w:tcBorders>
            <w:noWrap/>
            <w:vAlign w:val="center"/>
          </w:tcPr>
          <w:p w:rsidR="00032100" w:rsidRPr="00562175" w:rsidRDefault="00032100" w:rsidP="00032100">
            <w:pPr>
              <w:jc w:val="center"/>
            </w:pPr>
            <w:r>
              <w:t>51.81</w:t>
            </w:r>
          </w:p>
        </w:tc>
        <w:tc>
          <w:tcPr>
            <w:tcW w:w="1300" w:type="dxa"/>
            <w:tcBorders>
              <w:top w:val="nil"/>
              <w:left w:val="nil"/>
              <w:bottom w:val="single" w:sz="4" w:space="0" w:color="auto"/>
              <w:right w:val="single" w:sz="4" w:space="0" w:color="auto"/>
            </w:tcBorders>
            <w:noWrap/>
            <w:vAlign w:val="center"/>
          </w:tcPr>
          <w:p w:rsidR="00032100" w:rsidRPr="00562175" w:rsidRDefault="00032100" w:rsidP="00032100">
            <w:pPr>
              <w:jc w:val="center"/>
            </w:pPr>
            <w:r>
              <w:t>33.49</w:t>
            </w:r>
          </w:p>
        </w:tc>
        <w:tc>
          <w:tcPr>
            <w:tcW w:w="1420" w:type="dxa"/>
            <w:tcBorders>
              <w:top w:val="nil"/>
              <w:left w:val="nil"/>
              <w:bottom w:val="single" w:sz="4" w:space="0" w:color="auto"/>
              <w:right w:val="single" w:sz="4" w:space="0" w:color="auto"/>
            </w:tcBorders>
            <w:noWrap/>
            <w:vAlign w:val="center"/>
          </w:tcPr>
          <w:p w:rsidR="00032100" w:rsidRPr="00562175" w:rsidRDefault="00032100" w:rsidP="00032100">
            <w:pPr>
              <w:jc w:val="center"/>
            </w:pPr>
            <w:r>
              <w:t>48.19</w:t>
            </w:r>
          </w:p>
        </w:tc>
      </w:tr>
    </w:tbl>
    <w:p w:rsidR="00032100" w:rsidRPr="001C77E3" w:rsidRDefault="00032100" w:rsidP="00032100">
      <w:pPr>
        <w:jc w:val="right"/>
        <w:rPr>
          <w:u w:val="single"/>
        </w:rPr>
      </w:pPr>
    </w:p>
    <w:p w:rsidR="00032100" w:rsidRDefault="00032100" w:rsidP="00032100">
      <w:pPr>
        <w:rPr>
          <w:u w:val="single"/>
        </w:rPr>
      </w:pPr>
    </w:p>
    <w:p w:rsidR="00032100" w:rsidRPr="001C77E3" w:rsidRDefault="00032100" w:rsidP="00032100">
      <w:pPr>
        <w:rPr>
          <w:u w:val="single"/>
        </w:rPr>
      </w:pPr>
    </w:p>
    <w:p w:rsidR="00032100" w:rsidRPr="001C77E3" w:rsidRDefault="00032100" w:rsidP="00032100">
      <w:pPr>
        <w:rPr>
          <w:b/>
          <w:bCs/>
          <w:u w:val="single"/>
        </w:rPr>
      </w:pPr>
      <w:r w:rsidRPr="001C77E3">
        <w:rPr>
          <w:b/>
          <w:bCs/>
          <w:u w:val="single"/>
        </w:rPr>
        <w:t xml:space="preserve">Statistikas rādītāji par gultu fonda izmantošanas vidējiem rādītājiem </w:t>
      </w:r>
      <w:r>
        <w:rPr>
          <w:b/>
          <w:u w:val="single"/>
        </w:rPr>
        <w:t>2018</w:t>
      </w:r>
      <w:r w:rsidRPr="001C77E3">
        <w:rPr>
          <w:b/>
          <w:u w:val="single"/>
        </w:rPr>
        <w:t xml:space="preserve">. gada janvārī – </w:t>
      </w:r>
      <w:r>
        <w:rPr>
          <w:b/>
          <w:u w:val="single"/>
        </w:rPr>
        <w:t>jūnijā</w:t>
      </w:r>
    </w:p>
    <w:p w:rsidR="00032100" w:rsidRPr="001C77E3" w:rsidRDefault="00032100" w:rsidP="00032100">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032100" w:rsidRPr="001C77E3" w:rsidTr="0003210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201</w:t>
            </w:r>
            <w:r>
              <w:t>8. gada janvārī –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proofErr w:type="spellStart"/>
            <w:r w:rsidRPr="001C77E3">
              <w:t>Letalitāte</w:t>
            </w:r>
            <w:proofErr w:type="spellEnd"/>
            <w:r w:rsidRPr="001C77E3">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Vidējais ārstēšanas ilgums operētajiem</w:t>
            </w:r>
          </w:p>
        </w:tc>
      </w:tr>
      <w:tr w:rsidR="00032100" w:rsidRPr="001C77E3" w:rsidTr="0003210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1C77E3" w:rsidRDefault="00032100" w:rsidP="00032100">
            <w:pPr>
              <w:jc w:val="center"/>
            </w:pPr>
            <w:r w:rsidRPr="001C77E3">
              <w:t>Līdz operācijai</w:t>
            </w:r>
          </w:p>
        </w:tc>
      </w:tr>
      <w:tr w:rsidR="00032100" w:rsidRPr="001C77E3" w:rsidTr="00032100">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032100" w:rsidRPr="001C77E3" w:rsidRDefault="00032100" w:rsidP="00032100">
            <w:pPr>
              <w:rPr>
                <w:bCs/>
              </w:rPr>
            </w:pPr>
            <w:r w:rsidRPr="001C77E3">
              <w:rPr>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211</w:t>
            </w:r>
          </w:p>
        </w:tc>
        <w:tc>
          <w:tcPr>
            <w:tcW w:w="99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3</w:t>
            </w:r>
            <w:r w:rsidR="00F275CA">
              <w:t xml:space="preserve"> </w:t>
            </w:r>
            <w:r>
              <w:t>742</w:t>
            </w:r>
          </w:p>
        </w:tc>
        <w:tc>
          <w:tcPr>
            <w:tcW w:w="998"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116.19</w:t>
            </w:r>
          </w:p>
        </w:tc>
        <w:tc>
          <w:tcPr>
            <w:tcW w:w="998" w:type="dxa"/>
            <w:tcBorders>
              <w:top w:val="nil"/>
              <w:left w:val="nil"/>
              <w:bottom w:val="single" w:sz="4" w:space="0" w:color="auto"/>
              <w:right w:val="single" w:sz="4" w:space="0" w:color="auto"/>
            </w:tcBorders>
            <w:shd w:val="clear" w:color="auto" w:fill="auto"/>
            <w:noWrap/>
            <w:vAlign w:val="center"/>
          </w:tcPr>
          <w:p w:rsidR="00032100" w:rsidRPr="00562175" w:rsidRDefault="00032100" w:rsidP="00032100">
            <w:pPr>
              <w:jc w:val="center"/>
            </w:pPr>
            <w:r w:rsidRPr="00562175">
              <w:t>64.19</w:t>
            </w:r>
          </w:p>
        </w:tc>
        <w:tc>
          <w:tcPr>
            <w:tcW w:w="1143" w:type="dxa"/>
            <w:tcBorders>
              <w:top w:val="nil"/>
              <w:left w:val="nil"/>
              <w:bottom w:val="single" w:sz="4" w:space="0" w:color="auto"/>
              <w:right w:val="single" w:sz="4" w:space="0" w:color="auto"/>
            </w:tcBorders>
            <w:shd w:val="clear" w:color="auto" w:fill="auto"/>
            <w:noWrap/>
            <w:vAlign w:val="center"/>
          </w:tcPr>
          <w:p w:rsidR="00032100" w:rsidRPr="00562175" w:rsidRDefault="00032100" w:rsidP="00032100">
            <w:pPr>
              <w:jc w:val="center"/>
            </w:pPr>
            <w:r w:rsidRPr="00562175">
              <w:t>6.55</w:t>
            </w:r>
          </w:p>
        </w:tc>
        <w:tc>
          <w:tcPr>
            <w:tcW w:w="998" w:type="dxa"/>
            <w:tcBorders>
              <w:top w:val="nil"/>
              <w:left w:val="nil"/>
              <w:bottom w:val="single" w:sz="4" w:space="0" w:color="auto"/>
              <w:right w:val="single" w:sz="4" w:space="0" w:color="auto"/>
            </w:tcBorders>
            <w:shd w:val="clear" w:color="auto" w:fill="auto"/>
            <w:noWrap/>
            <w:vAlign w:val="center"/>
          </w:tcPr>
          <w:p w:rsidR="00032100" w:rsidRPr="00562175" w:rsidRDefault="00032100" w:rsidP="00032100">
            <w:pPr>
              <w:jc w:val="center"/>
            </w:pPr>
            <w:r w:rsidRPr="00562175">
              <w:t>0.24</w:t>
            </w:r>
          </w:p>
        </w:tc>
        <w:tc>
          <w:tcPr>
            <w:tcW w:w="95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17.73</w:t>
            </w:r>
          </w:p>
        </w:tc>
        <w:tc>
          <w:tcPr>
            <w:tcW w:w="95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3.65</w:t>
            </w:r>
          </w:p>
        </w:tc>
        <w:tc>
          <w:tcPr>
            <w:tcW w:w="1005"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5</w:t>
            </w:r>
            <w:r w:rsidR="00F275CA">
              <w:t xml:space="preserve"> </w:t>
            </w:r>
            <w:r>
              <w:t>700</w:t>
            </w:r>
          </w:p>
        </w:tc>
        <w:tc>
          <w:tcPr>
            <w:tcW w:w="95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3</w:t>
            </w:r>
            <w:r w:rsidR="00F275CA">
              <w:t xml:space="preserve"> </w:t>
            </w:r>
            <w:r>
              <w:t>412</w:t>
            </w:r>
          </w:p>
        </w:tc>
        <w:tc>
          <w:tcPr>
            <w:tcW w:w="95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91.18</w:t>
            </w:r>
          </w:p>
        </w:tc>
        <w:tc>
          <w:tcPr>
            <w:tcW w:w="959"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6.83</w:t>
            </w:r>
          </w:p>
        </w:tc>
        <w:tc>
          <w:tcPr>
            <w:tcW w:w="1005" w:type="dxa"/>
            <w:tcBorders>
              <w:top w:val="nil"/>
              <w:left w:val="nil"/>
              <w:bottom w:val="single" w:sz="4" w:space="0" w:color="auto"/>
              <w:right w:val="single" w:sz="4" w:space="0" w:color="auto"/>
            </w:tcBorders>
            <w:shd w:val="clear" w:color="auto" w:fill="auto"/>
            <w:noWrap/>
            <w:vAlign w:val="center"/>
          </w:tcPr>
          <w:p w:rsidR="00032100" w:rsidRPr="001C77E3" w:rsidRDefault="00032100" w:rsidP="00032100">
            <w:pPr>
              <w:jc w:val="center"/>
            </w:pPr>
            <w:r>
              <w:t>1.52</w:t>
            </w:r>
          </w:p>
        </w:tc>
      </w:tr>
    </w:tbl>
    <w:p w:rsidR="00164426" w:rsidRPr="001C77E3" w:rsidRDefault="00164426" w:rsidP="00B02F65">
      <w:pPr>
        <w:rPr>
          <w:rFonts w:asciiTheme="majorBidi" w:hAnsiTheme="majorBidi" w:cstheme="majorBidi"/>
        </w:rPr>
        <w:sectPr w:rsidR="00164426" w:rsidRPr="001C77E3">
          <w:footerReference w:type="default" r:id="rId13"/>
          <w:footerReference w:type="first" r:id="rId14"/>
          <w:pgSz w:w="16838" w:h="11906" w:orient="landscape"/>
          <w:pgMar w:top="1418" w:right="748" w:bottom="1797" w:left="1440" w:header="624" w:footer="601" w:gutter="0"/>
          <w:cols w:space="720"/>
        </w:sectPr>
      </w:pPr>
    </w:p>
    <w:p w:rsidR="001823E2" w:rsidRPr="001C77E3"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1C77E3">
        <w:rPr>
          <w:b/>
          <w:sz w:val="22"/>
          <w:szCs w:val="22"/>
          <w:u w:val="single"/>
        </w:rPr>
        <w:lastRenderedPageBreak/>
        <w:t>201</w:t>
      </w:r>
      <w:r w:rsidR="00717992">
        <w:rPr>
          <w:b/>
          <w:sz w:val="22"/>
          <w:szCs w:val="22"/>
          <w:u w:val="single"/>
        </w:rPr>
        <w:t>8</w:t>
      </w:r>
      <w:r w:rsidRPr="001C77E3">
        <w:rPr>
          <w:b/>
          <w:sz w:val="22"/>
          <w:szCs w:val="22"/>
          <w:u w:val="single"/>
        </w:rPr>
        <w:t xml:space="preserve">.gada janvārī - </w:t>
      </w:r>
      <w:r w:rsidR="007B06DB">
        <w:rPr>
          <w:b/>
          <w:sz w:val="22"/>
          <w:szCs w:val="22"/>
          <w:u w:val="single"/>
        </w:rPr>
        <w:t>jūnijā</w:t>
      </w:r>
      <w:r w:rsidR="001823E2" w:rsidRPr="001C77E3">
        <w:rPr>
          <w:b/>
          <w:sz w:val="22"/>
          <w:szCs w:val="22"/>
          <w:u w:val="single"/>
        </w:rPr>
        <w:t xml:space="preserve"> veiktie  pasākumi Slimnīcas attīstībai un saimnieciskās darbības nodrošināšanai:</w:t>
      </w:r>
    </w:p>
    <w:p w:rsidR="00613937" w:rsidRPr="007B06DB" w:rsidRDefault="00613937" w:rsidP="00613937">
      <w:pPr>
        <w:spacing w:line="360" w:lineRule="auto"/>
        <w:jc w:val="both"/>
        <w:rPr>
          <w:color w:val="00B050"/>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Vadoties no MK noteikumos Nr. 595 noteiktā,  2018. gada 1. ceturksnī valde  apstiprināja “Nolikumu par personāla darba samaksas noteikšanu”, kā arī akceptēja darba samaksas pieaugumu Slimnīcas darbiniekiem.</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2018. gada 1. ceturksnī  valde apstiprināja budžeta projektu 2018.gadam.</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Izvērtējot struktūrvienību iesniegtās vajadzības 2018.gadam, kā arī apzinot pakalpojumu  sniedzēju un piegādātāju līgumus, kuru darbība beidzas 2017.gada beigās vai 2018. gada laikā, valde nolēma apstiprināt iepirkumu plānu 2018.gadam.</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Lai atvieglotu pacientu pārvietošanu starp Slimnīcas Traumatoloģijas centru un Diagnostiskās radioloģijas nodaļu vai operāciju zāli, kā arī lai nodrošinātu pacienta drošību transportēšanas laikā, valde nolēma pēc tirgus izpētes iegādāties elektrisko riteņu krēslu no SIA “</w:t>
      </w:r>
      <w:proofErr w:type="spellStart"/>
      <w:r w:rsidRPr="00F275CA">
        <w:rPr>
          <w:sz w:val="22"/>
          <w:szCs w:val="22"/>
          <w:lang w:eastAsia="en-US"/>
        </w:rPr>
        <w:t>UniHaus</w:t>
      </w:r>
      <w:proofErr w:type="spellEnd"/>
      <w:r w:rsidRPr="00F275CA">
        <w:rPr>
          <w:sz w:val="22"/>
          <w:szCs w:val="22"/>
          <w:lang w:eastAsia="en-US"/>
        </w:rPr>
        <w:t>” par kopējo summu 2 845 EUR bez PVN.</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 xml:space="preserve">Lai turpmāk uzlabotu Slimnīcas laboratorijās veikto darbu kvalitāti, optimizētu vadību un nodrošinātu akreditācijas procesus, valde nolēma apvienot </w:t>
      </w:r>
      <w:proofErr w:type="spellStart"/>
      <w:r w:rsidRPr="00F275CA">
        <w:rPr>
          <w:sz w:val="22"/>
          <w:szCs w:val="22"/>
          <w:lang w:eastAsia="en-US"/>
        </w:rPr>
        <w:t>Patohistoloģijas</w:t>
      </w:r>
      <w:proofErr w:type="spellEnd"/>
      <w:r w:rsidRPr="00F275CA">
        <w:rPr>
          <w:sz w:val="22"/>
          <w:szCs w:val="22"/>
          <w:lang w:eastAsia="en-US"/>
        </w:rPr>
        <w:t xml:space="preserve"> un audu konservācijas laboratoriju un Mikrobioloģijas laboratoriju vienā struktūrvienībā ar nosaukumu “Mikrobioloģijas un </w:t>
      </w:r>
      <w:proofErr w:type="spellStart"/>
      <w:r w:rsidRPr="00F275CA">
        <w:rPr>
          <w:sz w:val="22"/>
          <w:szCs w:val="22"/>
          <w:lang w:eastAsia="en-US"/>
        </w:rPr>
        <w:t>patohistoloģijas</w:t>
      </w:r>
      <w:proofErr w:type="spellEnd"/>
      <w:r w:rsidRPr="00F275CA">
        <w:rPr>
          <w:sz w:val="22"/>
          <w:szCs w:val="22"/>
          <w:lang w:eastAsia="en-US"/>
        </w:rPr>
        <w:t xml:space="preserve"> apvienotā laboratorija”.</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Lai turpmāk uzlabotu veselības aprūpes dokumentācijas un statistikas vadību visā Slimnīcā, ieviestu novitātes tā procesa organizēšanā un nodrošināšanā, valde nolēma atvērt jaunu slodzi- Veselības aprūpes dokumentācijas un statistikas vadības ārsts.</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Lai nodrošinātu Eiropas Parlamenta un padomes regulas Nr. 2016/679 prasības par fizisku personu datu aizsardzību, valde nolēma organizēt tirgus izpēti par personu datu aizsardzības speciālista pakalpojumiem ar paredzamo līgumcenu 12 mēnešiem EUR 9999,99 bez PVN.</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 xml:space="preserve">Lai nodrošinātu </w:t>
      </w:r>
      <w:proofErr w:type="spellStart"/>
      <w:r w:rsidRPr="00F275CA">
        <w:rPr>
          <w:sz w:val="22"/>
          <w:szCs w:val="22"/>
          <w:lang w:eastAsia="en-US"/>
        </w:rPr>
        <w:t>spongiozā</w:t>
      </w:r>
      <w:proofErr w:type="spellEnd"/>
      <w:r w:rsidRPr="00F275CA">
        <w:rPr>
          <w:sz w:val="22"/>
          <w:szCs w:val="22"/>
          <w:lang w:eastAsia="en-US"/>
        </w:rPr>
        <w:t xml:space="preserve"> kaula defektu aizpildi operāciju laikā traumatisku vai </w:t>
      </w:r>
      <w:proofErr w:type="spellStart"/>
      <w:r w:rsidRPr="00F275CA">
        <w:rPr>
          <w:sz w:val="22"/>
          <w:szCs w:val="22"/>
          <w:lang w:eastAsia="en-US"/>
        </w:rPr>
        <w:t>deģeneratīvu</w:t>
      </w:r>
      <w:proofErr w:type="spellEnd"/>
      <w:r w:rsidRPr="00F275CA">
        <w:rPr>
          <w:sz w:val="22"/>
          <w:szCs w:val="22"/>
          <w:lang w:eastAsia="en-US"/>
        </w:rPr>
        <w:t xml:space="preserve"> bojājumu ķirurģiskai ārstēšanai, pēc tirgus izpētes valde nolēma iegādāties kaula masas aizvietotāja implantus no SIA “</w:t>
      </w:r>
      <w:proofErr w:type="spellStart"/>
      <w:r w:rsidRPr="00F275CA">
        <w:rPr>
          <w:sz w:val="22"/>
          <w:szCs w:val="22"/>
          <w:lang w:eastAsia="en-US"/>
        </w:rPr>
        <w:t>Medasistents</w:t>
      </w:r>
      <w:proofErr w:type="spellEnd"/>
      <w:r w:rsidRPr="00F275CA">
        <w:rPr>
          <w:sz w:val="22"/>
          <w:szCs w:val="22"/>
          <w:lang w:eastAsia="en-US"/>
        </w:rPr>
        <w:t>” (100 vienības) par vienas vienības cenu EUR 75 bez PVN.</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 </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Lai nodrošinātu pacientu drošu pārvietošanu starp gultu un transporta </w:t>
      </w:r>
      <w:proofErr w:type="spellStart"/>
      <w:r w:rsidRPr="00F275CA">
        <w:rPr>
          <w:sz w:val="22"/>
          <w:szCs w:val="22"/>
          <w:lang w:eastAsia="en-US"/>
        </w:rPr>
        <w:t>guļratiem</w:t>
      </w:r>
      <w:proofErr w:type="spellEnd"/>
      <w:r w:rsidRPr="00F275CA">
        <w:rPr>
          <w:sz w:val="22"/>
          <w:szCs w:val="22"/>
          <w:lang w:eastAsia="en-US"/>
        </w:rPr>
        <w:t xml:space="preserve"> uz operāciju zāli, pēc tirgus izpētes valde nolēma atļaut iegādāties 7 speciālos </w:t>
      </w:r>
      <w:proofErr w:type="spellStart"/>
      <w:r w:rsidRPr="00F275CA">
        <w:rPr>
          <w:sz w:val="22"/>
          <w:szCs w:val="22"/>
          <w:lang w:eastAsia="en-US"/>
        </w:rPr>
        <w:t>slīdmatračus</w:t>
      </w:r>
      <w:proofErr w:type="spellEnd"/>
      <w:r w:rsidRPr="00F275CA">
        <w:rPr>
          <w:sz w:val="22"/>
          <w:szCs w:val="22"/>
          <w:lang w:eastAsia="en-US"/>
        </w:rPr>
        <w:t xml:space="preserve"> no SIA “</w:t>
      </w:r>
      <w:proofErr w:type="spellStart"/>
      <w:r w:rsidRPr="00F275CA">
        <w:rPr>
          <w:sz w:val="22"/>
          <w:szCs w:val="22"/>
          <w:lang w:eastAsia="en-US"/>
        </w:rPr>
        <w:t>Arbor</w:t>
      </w:r>
      <w:proofErr w:type="spellEnd"/>
      <w:r w:rsidRPr="00F275CA">
        <w:rPr>
          <w:sz w:val="22"/>
          <w:szCs w:val="22"/>
          <w:lang w:eastAsia="en-US"/>
        </w:rPr>
        <w:t>” par kopējo summu EUR 3255 bez PVN.</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2018. gada 1. ceturksnī  valde apstiprināja VSIA “</w:t>
      </w:r>
      <w:proofErr w:type="spellStart"/>
      <w:r w:rsidRPr="00F275CA">
        <w:rPr>
          <w:sz w:val="22"/>
          <w:szCs w:val="22"/>
          <w:lang w:eastAsia="en-US"/>
        </w:rPr>
        <w:t>Traumatoloģjjas</w:t>
      </w:r>
      <w:proofErr w:type="spellEnd"/>
      <w:r w:rsidRPr="00F275CA">
        <w:rPr>
          <w:sz w:val="22"/>
          <w:szCs w:val="22"/>
          <w:lang w:eastAsia="en-US"/>
        </w:rPr>
        <w:t xml:space="preserve"> un ortopēdijas slimnīca” vidēja termiņa darbības stratēģiju 2018. – 2020.gadam. </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 xml:space="preserve">Lai nodrošinātu kvalitatīvu un nepārtrauktu Slimnīcas vides tīrību, atbilstoši sanitāri higiēniskajām normām un epidemioloģiskai drošībai, valde nolēma atļaut iegādāties telpu uzkopšanas inventāru no SIA “BG”, kas piedāvāja zemāko cenu (kopējās izmaksas  3 991,40  EUR bez PVN pēc veiktās tirgus izpētes). </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Lai veiktu medicīnas iekārtu funkcionālo un elektrodrošības pārbaudi saskaņā ar MK noteikumiem Nr. 689 “Medicīnisko ierīču reģistrācijas, atbilstības novērtēšanas, izplatīšanas, ekspluatācijas un tehniskās uzraudzības kārtība”,  valde nolēma pēc veiktās tirgus izpētes atļaut noslēgt līgumu par medicīnas iekārtu pārbaudi ar SIA “</w:t>
      </w:r>
      <w:proofErr w:type="spellStart"/>
      <w:r w:rsidRPr="00F275CA">
        <w:rPr>
          <w:sz w:val="22"/>
          <w:szCs w:val="22"/>
          <w:lang w:eastAsia="en-US"/>
        </w:rPr>
        <w:t>Rola</w:t>
      </w:r>
      <w:proofErr w:type="spellEnd"/>
      <w:r w:rsidRPr="00F275CA">
        <w:rPr>
          <w:sz w:val="22"/>
          <w:szCs w:val="22"/>
          <w:lang w:eastAsia="en-US"/>
        </w:rPr>
        <w:t>”, kas piedāvāja zemāko cenu (kopējās izmaksas  5 021,00  EUR bez PVN).</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 xml:space="preserve">Lai nodrošinātu operāciju bloka un Anestezioloģijas un reanimācijas nodaļas darbu, valde nolēma 2018. gada 1. ceturksnī pēc veiktās tirgus izpētes iegādāties 10 pacientu </w:t>
      </w:r>
      <w:proofErr w:type="spellStart"/>
      <w:r w:rsidRPr="00F275CA">
        <w:rPr>
          <w:sz w:val="22"/>
          <w:szCs w:val="22"/>
          <w:lang w:eastAsia="en-US"/>
        </w:rPr>
        <w:t>perfuzorus</w:t>
      </w:r>
      <w:proofErr w:type="spellEnd"/>
      <w:r w:rsidRPr="00F275CA">
        <w:rPr>
          <w:sz w:val="22"/>
          <w:szCs w:val="22"/>
          <w:lang w:eastAsia="en-US"/>
        </w:rPr>
        <w:t xml:space="preserve"> </w:t>
      </w:r>
      <w:proofErr w:type="spellStart"/>
      <w:r w:rsidRPr="00F275CA">
        <w:rPr>
          <w:sz w:val="22"/>
          <w:szCs w:val="22"/>
          <w:lang w:eastAsia="en-US"/>
        </w:rPr>
        <w:t>BBraun</w:t>
      </w:r>
      <w:proofErr w:type="spellEnd"/>
      <w:r w:rsidRPr="00F275CA">
        <w:rPr>
          <w:sz w:val="22"/>
          <w:szCs w:val="22"/>
          <w:lang w:eastAsia="en-US"/>
        </w:rPr>
        <w:t xml:space="preserve"> </w:t>
      </w:r>
      <w:proofErr w:type="spellStart"/>
      <w:r w:rsidRPr="00F275CA">
        <w:rPr>
          <w:sz w:val="22"/>
          <w:szCs w:val="22"/>
          <w:lang w:eastAsia="en-US"/>
        </w:rPr>
        <w:t>Compactplus</w:t>
      </w:r>
      <w:proofErr w:type="spellEnd"/>
      <w:r w:rsidRPr="00F275CA">
        <w:rPr>
          <w:sz w:val="22"/>
          <w:szCs w:val="22"/>
          <w:lang w:eastAsia="en-US"/>
        </w:rPr>
        <w:t xml:space="preserve"> no SIA “B.BRAUN </w:t>
      </w:r>
      <w:proofErr w:type="spellStart"/>
      <w:r w:rsidRPr="00F275CA">
        <w:rPr>
          <w:sz w:val="22"/>
          <w:szCs w:val="22"/>
          <w:lang w:eastAsia="en-US"/>
        </w:rPr>
        <w:t>Medical</w:t>
      </w:r>
      <w:proofErr w:type="spellEnd"/>
      <w:r w:rsidRPr="00F275CA">
        <w:rPr>
          <w:sz w:val="22"/>
          <w:szCs w:val="22"/>
          <w:lang w:eastAsia="en-US"/>
        </w:rPr>
        <w:t>”, kas piedāvāja zemāko cenu (kopējās izmaksas  7820,00  EUR bez PVN). Iepirkums ir iekļauts 2018. gada iepirkumu plānā.</w:t>
      </w:r>
    </w:p>
    <w:p w:rsidR="007B06DB" w:rsidRPr="00F275CA" w:rsidRDefault="007B06DB" w:rsidP="00717992">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t>Vadoties no MK noteikumos Nr.660 noteiktā,  2018. gada 2. ceturksnī valde  apstiprināja Darba aizsardzības pasākumu plānu darba vides riska faktoru iedarbības samazināšanai vai novēršanai 2018. gadam.</w:t>
      </w:r>
    </w:p>
    <w:p w:rsidR="007B06DB" w:rsidRPr="00F275CA" w:rsidRDefault="007B06DB" w:rsidP="007B06DB">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t>Vadoties no nepieciešamības apdrošināt Slimnīcas nekustamo īpašumu, valde nolēma pēc tirgus izpētes apdrošināt Slimnīcas ēkas apdrošināšanas sabiedrībā AS “Baltijas Apdrošināšanas Nams” par kopējo summu EUR 1711,37.</w:t>
      </w:r>
    </w:p>
    <w:p w:rsidR="007B06DB" w:rsidRPr="00F275CA" w:rsidRDefault="007B06DB" w:rsidP="007B06DB">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t>2018. gada 2. ceturksnī  valde apstiprināja 2017. gada pārskatu.</w:t>
      </w:r>
    </w:p>
    <w:p w:rsidR="007B06DB" w:rsidRPr="00F275CA" w:rsidRDefault="007B06DB" w:rsidP="007B06DB">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t>Lai nodrošinātu MK noteikumu Nr.494 prasību ievērošanu, valde nolēma organizēt ģimenes ārsta profilaktiskās konsultācijas un diagnostiskos izmeklējumus Slimnīcas darbiniekiem, kuru amatu pienākumu pildīšana ir saistīta ar iespējamu risku citu cilvēku veselībai.</w:t>
      </w:r>
    </w:p>
    <w:p w:rsidR="007B06DB" w:rsidRPr="00F275CA" w:rsidRDefault="007B06DB" w:rsidP="007B06DB">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t>Vadoties no nepieciešamības aktualizēt esošo iepirkumu plānu 2018.gadam, valde nolēma apstiprināt aktualizēto Slimnīcas iepirkumu plānu.</w:t>
      </w:r>
    </w:p>
    <w:p w:rsidR="007B06DB" w:rsidRPr="00F275CA" w:rsidRDefault="007B06DB" w:rsidP="007B06DB">
      <w:pPr>
        <w:spacing w:line="360" w:lineRule="auto"/>
        <w:jc w:val="both"/>
        <w:rPr>
          <w:sz w:val="22"/>
          <w:szCs w:val="22"/>
          <w:lang w:eastAsia="en-US"/>
        </w:rPr>
      </w:pPr>
    </w:p>
    <w:p w:rsidR="007B06DB" w:rsidRPr="00F275CA" w:rsidRDefault="007B06DB" w:rsidP="007B06DB">
      <w:pPr>
        <w:spacing w:line="360" w:lineRule="auto"/>
        <w:jc w:val="both"/>
        <w:rPr>
          <w:sz w:val="22"/>
          <w:szCs w:val="22"/>
          <w:lang w:eastAsia="en-US"/>
        </w:rPr>
      </w:pPr>
      <w:r w:rsidRPr="00F275CA">
        <w:rPr>
          <w:sz w:val="22"/>
          <w:szCs w:val="22"/>
          <w:lang w:eastAsia="en-US"/>
        </w:rPr>
        <w:lastRenderedPageBreak/>
        <w:t>Nodrošinot kvalitatīvu ārstniecības aprūpes pakalpojumu un Slimnīcas vides tīrību, valde nolēma pēc tirgus izpētes veikt logu mazgāšanu visās Slimnīcas nodaļās, kā arī 75 logu sietu mazgāšanu, noslēdzot līgumu ar SIA “</w:t>
      </w:r>
      <w:proofErr w:type="spellStart"/>
      <w:r w:rsidRPr="00F275CA">
        <w:rPr>
          <w:sz w:val="22"/>
          <w:szCs w:val="22"/>
          <w:lang w:eastAsia="en-US"/>
        </w:rPr>
        <w:t>AmisPro</w:t>
      </w:r>
      <w:proofErr w:type="spellEnd"/>
      <w:r w:rsidRPr="00F275CA">
        <w:rPr>
          <w:sz w:val="22"/>
          <w:szCs w:val="22"/>
          <w:lang w:eastAsia="en-US"/>
        </w:rPr>
        <w:t>”, kas piedāvāja viszemāko cenu ( 2236,15 EUR bez PVN).</w:t>
      </w:r>
    </w:p>
    <w:p w:rsidR="007B06DB" w:rsidRPr="00F275CA" w:rsidRDefault="007B06DB" w:rsidP="00613937">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Lai nodrošinātu iepirkumu procedūru Slimnīcā atbilstoši “Publisko iepirkumu likumā” noteiktajai kārtībai, laika periodā  no 2018. gada 1. janvāra līdz 2018. gada 3</w:t>
      </w:r>
      <w:r w:rsidR="007B06DB" w:rsidRPr="00F275CA">
        <w:rPr>
          <w:sz w:val="22"/>
          <w:szCs w:val="22"/>
          <w:lang w:eastAsia="en-US"/>
        </w:rPr>
        <w:t>0. jūnijam</w:t>
      </w:r>
      <w:r w:rsidRPr="00F275CA">
        <w:rPr>
          <w:sz w:val="22"/>
          <w:szCs w:val="22"/>
          <w:lang w:eastAsia="en-US"/>
        </w:rPr>
        <w:t xml:space="preserve"> tika izsludinātas un veiktas sekojošas iepirkumu procedūras atbilstoši iepirkumu plānam:</w:t>
      </w:r>
    </w:p>
    <w:p w:rsidR="00717992" w:rsidRPr="00F275CA" w:rsidRDefault="00717992" w:rsidP="00717992">
      <w:pPr>
        <w:spacing w:line="360" w:lineRule="auto"/>
        <w:jc w:val="both"/>
        <w:rPr>
          <w:sz w:val="22"/>
          <w:szCs w:val="22"/>
          <w:lang w:eastAsia="en-US"/>
        </w:rPr>
      </w:pPr>
      <w:r w:rsidRPr="00F275CA">
        <w:rPr>
          <w:sz w:val="22"/>
          <w:szCs w:val="22"/>
          <w:lang w:eastAsia="en-US"/>
        </w:rPr>
        <w:t>1)  Iepirkuma procedūra “Reaģentu AB(0) asins grupas noteikšanai piegāde”;</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2) Iepirkuma procedūra “Lielā </w:t>
      </w:r>
      <w:proofErr w:type="spellStart"/>
      <w:r w:rsidRPr="00F275CA">
        <w:rPr>
          <w:sz w:val="22"/>
          <w:szCs w:val="22"/>
          <w:lang w:eastAsia="en-US"/>
        </w:rPr>
        <w:t>lielkaula</w:t>
      </w:r>
      <w:proofErr w:type="spellEnd"/>
      <w:r w:rsidRPr="00F275CA">
        <w:rPr>
          <w:sz w:val="22"/>
          <w:szCs w:val="22"/>
          <w:lang w:eastAsia="en-US"/>
        </w:rPr>
        <w:t xml:space="preserve"> un ciskas kaula </w:t>
      </w:r>
      <w:proofErr w:type="spellStart"/>
      <w:r w:rsidRPr="00F275CA">
        <w:rPr>
          <w:sz w:val="22"/>
          <w:szCs w:val="22"/>
          <w:lang w:eastAsia="en-US"/>
        </w:rPr>
        <w:t>osteosintēzes</w:t>
      </w:r>
      <w:proofErr w:type="spellEnd"/>
      <w:r w:rsidRPr="00F275CA">
        <w:rPr>
          <w:sz w:val="22"/>
          <w:szCs w:val="22"/>
          <w:lang w:eastAsia="en-US"/>
        </w:rPr>
        <w:t xml:space="preserve"> stieņu un skrūvju piegāde”;</w:t>
      </w:r>
    </w:p>
    <w:p w:rsidR="00717992" w:rsidRPr="00F275CA" w:rsidRDefault="00717992" w:rsidP="00717992">
      <w:pPr>
        <w:spacing w:line="360" w:lineRule="auto"/>
        <w:jc w:val="both"/>
        <w:rPr>
          <w:sz w:val="22"/>
          <w:szCs w:val="22"/>
          <w:lang w:eastAsia="en-US"/>
        </w:rPr>
      </w:pPr>
      <w:r w:rsidRPr="00F275CA">
        <w:rPr>
          <w:sz w:val="22"/>
          <w:szCs w:val="22"/>
          <w:lang w:eastAsia="en-US"/>
        </w:rPr>
        <w:t>3) Atklāts konkurss “Vienota mugurkaula fiksācijas sistēma no galvaskausa pamatnes līdz krusta kaulam 360 grādu fiksācijai”;</w:t>
      </w:r>
    </w:p>
    <w:p w:rsidR="00717992" w:rsidRPr="00F275CA" w:rsidRDefault="00717992" w:rsidP="00717992">
      <w:pPr>
        <w:spacing w:line="360" w:lineRule="auto"/>
        <w:jc w:val="both"/>
        <w:rPr>
          <w:sz w:val="22"/>
          <w:szCs w:val="22"/>
          <w:lang w:eastAsia="en-US"/>
        </w:rPr>
      </w:pPr>
      <w:r w:rsidRPr="00F275CA">
        <w:rPr>
          <w:sz w:val="22"/>
          <w:szCs w:val="22"/>
          <w:lang w:eastAsia="en-US"/>
        </w:rPr>
        <w:t>4) Iepirkuma procedūra “</w:t>
      </w:r>
      <w:proofErr w:type="spellStart"/>
      <w:r w:rsidRPr="00F275CA">
        <w:rPr>
          <w:sz w:val="22"/>
          <w:szCs w:val="22"/>
          <w:lang w:eastAsia="en-US"/>
        </w:rPr>
        <w:t>Daudzreizlietojamas</w:t>
      </w:r>
      <w:proofErr w:type="spellEnd"/>
      <w:r w:rsidRPr="00F275CA">
        <w:rPr>
          <w:sz w:val="22"/>
          <w:szCs w:val="22"/>
          <w:lang w:eastAsia="en-US"/>
        </w:rPr>
        <w:t xml:space="preserve"> slimnīcas pacientu aprūpes un operāciju veļas piegāde”;</w:t>
      </w:r>
    </w:p>
    <w:p w:rsidR="00717992" w:rsidRPr="00F275CA" w:rsidRDefault="00717992" w:rsidP="00717992">
      <w:pPr>
        <w:spacing w:line="360" w:lineRule="auto"/>
        <w:jc w:val="both"/>
        <w:rPr>
          <w:sz w:val="22"/>
          <w:szCs w:val="22"/>
          <w:lang w:eastAsia="en-US"/>
        </w:rPr>
      </w:pPr>
      <w:r w:rsidRPr="00F275CA">
        <w:rPr>
          <w:sz w:val="22"/>
          <w:szCs w:val="22"/>
          <w:lang w:eastAsia="en-US"/>
        </w:rPr>
        <w:t>5) Iepirkuma procedūra “Instrumentu konteineru rezerves detaļu un palīglīdzekļu piegāde”;</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6) Iepirkuma procedūra “Lielo kaulu </w:t>
      </w:r>
      <w:proofErr w:type="spellStart"/>
      <w:r w:rsidRPr="00F275CA">
        <w:rPr>
          <w:sz w:val="22"/>
          <w:szCs w:val="22"/>
          <w:lang w:eastAsia="en-US"/>
        </w:rPr>
        <w:t>osteosintēzes</w:t>
      </w:r>
      <w:proofErr w:type="spellEnd"/>
      <w:r w:rsidRPr="00F275CA">
        <w:rPr>
          <w:sz w:val="22"/>
          <w:szCs w:val="22"/>
          <w:lang w:eastAsia="en-US"/>
        </w:rPr>
        <w:t xml:space="preserve"> implantu piegāde”;</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7) Atklāts konkurss “Dažādu kaulu </w:t>
      </w:r>
      <w:proofErr w:type="spellStart"/>
      <w:r w:rsidRPr="00F275CA">
        <w:rPr>
          <w:sz w:val="22"/>
          <w:szCs w:val="22"/>
          <w:lang w:eastAsia="en-US"/>
        </w:rPr>
        <w:t>osteosintēzes</w:t>
      </w:r>
      <w:proofErr w:type="spellEnd"/>
      <w:r w:rsidRPr="00F275CA">
        <w:rPr>
          <w:sz w:val="22"/>
          <w:szCs w:val="22"/>
          <w:lang w:eastAsia="en-US"/>
        </w:rPr>
        <w:t xml:space="preserve"> implantu piegāde”;</w:t>
      </w:r>
    </w:p>
    <w:p w:rsidR="00717992" w:rsidRPr="00F275CA" w:rsidRDefault="00717992" w:rsidP="00717992">
      <w:pPr>
        <w:spacing w:line="360" w:lineRule="auto"/>
        <w:jc w:val="both"/>
        <w:rPr>
          <w:sz w:val="22"/>
          <w:szCs w:val="22"/>
          <w:lang w:eastAsia="en-US"/>
        </w:rPr>
      </w:pPr>
      <w:r w:rsidRPr="00F275CA">
        <w:rPr>
          <w:sz w:val="22"/>
          <w:szCs w:val="22"/>
          <w:lang w:eastAsia="en-US"/>
        </w:rPr>
        <w:t>8) Iepirkuma procedūra “Centralizētās sterilizācijas un sterilo materiālu apgādes nodaļas iekārtu apkope un remonts”;</w:t>
      </w:r>
    </w:p>
    <w:p w:rsidR="00717992" w:rsidRPr="00F275CA" w:rsidRDefault="00717992" w:rsidP="00717992">
      <w:pPr>
        <w:spacing w:line="360" w:lineRule="auto"/>
        <w:jc w:val="both"/>
        <w:rPr>
          <w:sz w:val="22"/>
          <w:szCs w:val="22"/>
          <w:lang w:eastAsia="en-US"/>
        </w:rPr>
      </w:pPr>
      <w:r w:rsidRPr="00F275CA">
        <w:rPr>
          <w:sz w:val="22"/>
          <w:szCs w:val="22"/>
          <w:lang w:eastAsia="en-US"/>
        </w:rPr>
        <w:t>9) Atklāts konkurss “Papildus ārstniecības līdzekļu piegāde”;</w:t>
      </w:r>
    </w:p>
    <w:p w:rsidR="00717992" w:rsidRPr="00F275CA" w:rsidRDefault="00717992" w:rsidP="00717992">
      <w:pPr>
        <w:spacing w:line="360" w:lineRule="auto"/>
        <w:jc w:val="both"/>
        <w:rPr>
          <w:sz w:val="22"/>
          <w:szCs w:val="22"/>
          <w:lang w:eastAsia="en-US"/>
        </w:rPr>
      </w:pPr>
      <w:r w:rsidRPr="00F275CA">
        <w:rPr>
          <w:sz w:val="22"/>
          <w:szCs w:val="22"/>
          <w:lang w:eastAsia="en-US"/>
        </w:rPr>
        <w:t>10) Iepirkuma procedūra “Ražotāju specifisko instrumentu remonta pakalpojuma sniegšana”;</w:t>
      </w:r>
    </w:p>
    <w:p w:rsidR="00717992" w:rsidRPr="00F275CA" w:rsidRDefault="00717992" w:rsidP="00717992">
      <w:pPr>
        <w:spacing w:line="360" w:lineRule="auto"/>
        <w:jc w:val="both"/>
        <w:rPr>
          <w:sz w:val="22"/>
          <w:szCs w:val="22"/>
          <w:lang w:eastAsia="en-US"/>
        </w:rPr>
      </w:pPr>
      <w:r w:rsidRPr="00F275CA">
        <w:rPr>
          <w:sz w:val="22"/>
          <w:szCs w:val="22"/>
          <w:lang w:eastAsia="en-US"/>
        </w:rPr>
        <w:t>11) Atklāts konkurss “Modulārās lielo locītavu endoprotēžu sistēmas piegāde”;</w:t>
      </w:r>
    </w:p>
    <w:p w:rsidR="00717992" w:rsidRPr="00F275CA" w:rsidRDefault="00717992" w:rsidP="00717992">
      <w:pPr>
        <w:spacing w:line="360" w:lineRule="auto"/>
        <w:jc w:val="both"/>
        <w:rPr>
          <w:sz w:val="22"/>
          <w:szCs w:val="22"/>
          <w:lang w:eastAsia="en-US"/>
        </w:rPr>
      </w:pPr>
      <w:r w:rsidRPr="00F275CA">
        <w:rPr>
          <w:sz w:val="22"/>
          <w:szCs w:val="22"/>
          <w:lang w:eastAsia="en-US"/>
        </w:rPr>
        <w:t>12) Atklāts konkurss “Par veļas mazgāšanas pakalpojumu sniegšanu”;</w:t>
      </w:r>
    </w:p>
    <w:p w:rsidR="00717992" w:rsidRPr="00F275CA" w:rsidRDefault="00717992" w:rsidP="00717992">
      <w:pPr>
        <w:spacing w:line="360" w:lineRule="auto"/>
        <w:jc w:val="both"/>
        <w:rPr>
          <w:sz w:val="22"/>
          <w:szCs w:val="22"/>
          <w:lang w:eastAsia="en-US"/>
        </w:rPr>
      </w:pPr>
      <w:r w:rsidRPr="00F275CA">
        <w:rPr>
          <w:sz w:val="22"/>
          <w:szCs w:val="22"/>
          <w:lang w:eastAsia="en-US"/>
        </w:rPr>
        <w:t xml:space="preserve">13) Atklāts konkurss “Mazo kaulu </w:t>
      </w:r>
      <w:proofErr w:type="spellStart"/>
      <w:r w:rsidRPr="00F275CA">
        <w:rPr>
          <w:sz w:val="22"/>
          <w:szCs w:val="22"/>
          <w:lang w:eastAsia="en-US"/>
        </w:rPr>
        <w:t>osteosintēzes</w:t>
      </w:r>
      <w:proofErr w:type="spellEnd"/>
      <w:r w:rsidRPr="00F275CA">
        <w:rPr>
          <w:sz w:val="22"/>
          <w:szCs w:val="22"/>
          <w:lang w:eastAsia="en-US"/>
        </w:rPr>
        <w:t xml:space="preserve"> implantu iepirkums”;</w:t>
      </w:r>
    </w:p>
    <w:p w:rsidR="00717992" w:rsidRPr="00F275CA" w:rsidRDefault="00717992" w:rsidP="00717992">
      <w:pPr>
        <w:spacing w:line="360" w:lineRule="auto"/>
        <w:jc w:val="both"/>
        <w:rPr>
          <w:sz w:val="22"/>
          <w:szCs w:val="22"/>
          <w:lang w:eastAsia="en-US"/>
        </w:rPr>
      </w:pPr>
      <w:r w:rsidRPr="00F275CA">
        <w:rPr>
          <w:sz w:val="22"/>
          <w:szCs w:val="22"/>
          <w:lang w:eastAsia="en-US"/>
        </w:rPr>
        <w:t>14) Atklāts konkurs</w:t>
      </w:r>
      <w:r w:rsidR="007B06DB" w:rsidRPr="00F275CA">
        <w:rPr>
          <w:sz w:val="22"/>
          <w:szCs w:val="22"/>
          <w:lang w:eastAsia="en-US"/>
        </w:rPr>
        <w:t>s “Mugurkaula implantu piegāde”;</w:t>
      </w:r>
    </w:p>
    <w:p w:rsidR="007B06DB" w:rsidRPr="00F275CA" w:rsidRDefault="007B06DB" w:rsidP="007B06DB">
      <w:pPr>
        <w:spacing w:line="360" w:lineRule="auto"/>
        <w:jc w:val="both"/>
        <w:rPr>
          <w:sz w:val="22"/>
          <w:szCs w:val="22"/>
          <w:lang w:eastAsia="en-US"/>
        </w:rPr>
      </w:pPr>
      <w:r w:rsidRPr="00F275CA">
        <w:rPr>
          <w:sz w:val="22"/>
          <w:szCs w:val="22"/>
          <w:lang w:eastAsia="en-US"/>
        </w:rPr>
        <w:t>15) Iepirkuma procedūra “Ķirurģiskā šuvju materiāla piegāde”;</w:t>
      </w:r>
    </w:p>
    <w:p w:rsidR="007B06DB" w:rsidRPr="00F275CA" w:rsidRDefault="007B06DB" w:rsidP="007B06DB">
      <w:pPr>
        <w:spacing w:line="360" w:lineRule="auto"/>
        <w:jc w:val="both"/>
        <w:rPr>
          <w:sz w:val="22"/>
          <w:szCs w:val="22"/>
          <w:lang w:eastAsia="en-US"/>
        </w:rPr>
      </w:pPr>
      <w:r w:rsidRPr="00F275CA">
        <w:rPr>
          <w:sz w:val="22"/>
          <w:szCs w:val="22"/>
          <w:lang w:eastAsia="en-US"/>
        </w:rPr>
        <w:t xml:space="preserve">16) Iepirkuma procedūra “Centralizētās sterilizācijas un sterilo materiālu apgādes nodaļas iekārtu </w:t>
      </w:r>
      <w:proofErr w:type="spellStart"/>
      <w:r w:rsidRPr="00F275CA">
        <w:rPr>
          <w:sz w:val="22"/>
          <w:szCs w:val="22"/>
          <w:lang w:eastAsia="en-US"/>
        </w:rPr>
        <w:t>revalidācija</w:t>
      </w:r>
      <w:proofErr w:type="spellEnd"/>
      <w:r w:rsidRPr="00F275CA">
        <w:rPr>
          <w:sz w:val="22"/>
          <w:szCs w:val="22"/>
          <w:lang w:eastAsia="en-US"/>
        </w:rPr>
        <w:t>”;</w:t>
      </w:r>
    </w:p>
    <w:p w:rsidR="007B06DB" w:rsidRPr="00F275CA" w:rsidRDefault="007B06DB" w:rsidP="007B06DB">
      <w:pPr>
        <w:spacing w:line="360" w:lineRule="auto"/>
        <w:jc w:val="both"/>
        <w:rPr>
          <w:sz w:val="22"/>
          <w:szCs w:val="22"/>
          <w:lang w:eastAsia="en-US"/>
        </w:rPr>
      </w:pPr>
      <w:r w:rsidRPr="00F275CA">
        <w:rPr>
          <w:sz w:val="22"/>
          <w:szCs w:val="22"/>
          <w:lang w:eastAsia="en-US"/>
        </w:rPr>
        <w:t>17) Atklāts konkurss “Vienreizlietojamās sterilās operācijas veļas un vienreizlietojamo ķirurģisko halātu piegāde”;</w:t>
      </w:r>
    </w:p>
    <w:p w:rsidR="007B06DB" w:rsidRPr="00F275CA" w:rsidRDefault="007B06DB" w:rsidP="007B06DB">
      <w:pPr>
        <w:spacing w:line="360" w:lineRule="auto"/>
        <w:jc w:val="both"/>
        <w:rPr>
          <w:sz w:val="22"/>
          <w:szCs w:val="22"/>
          <w:lang w:eastAsia="en-US"/>
        </w:rPr>
      </w:pPr>
      <w:r w:rsidRPr="00F275CA">
        <w:rPr>
          <w:sz w:val="22"/>
          <w:szCs w:val="22"/>
          <w:lang w:eastAsia="en-US"/>
        </w:rPr>
        <w:t>18) Iepirkuma procedūra “Medicīnisko ierīču mazgāšanas un dezinfekcijas iekārtu piederumu piegāde”;</w:t>
      </w:r>
    </w:p>
    <w:p w:rsidR="007B06DB" w:rsidRPr="00F275CA" w:rsidRDefault="007B06DB" w:rsidP="007B06DB">
      <w:pPr>
        <w:spacing w:line="360" w:lineRule="auto"/>
        <w:jc w:val="both"/>
        <w:rPr>
          <w:sz w:val="22"/>
          <w:szCs w:val="22"/>
          <w:lang w:eastAsia="en-US"/>
        </w:rPr>
      </w:pPr>
      <w:r w:rsidRPr="00F275CA">
        <w:rPr>
          <w:sz w:val="22"/>
          <w:szCs w:val="22"/>
          <w:lang w:eastAsia="en-US"/>
        </w:rPr>
        <w:t xml:space="preserve">19) Atklāts konkurss “Vidējo kaulu bloķējošo  </w:t>
      </w:r>
      <w:proofErr w:type="spellStart"/>
      <w:r w:rsidRPr="00F275CA">
        <w:rPr>
          <w:sz w:val="22"/>
          <w:szCs w:val="22"/>
          <w:lang w:eastAsia="en-US"/>
        </w:rPr>
        <w:t>osteosintēzes</w:t>
      </w:r>
      <w:proofErr w:type="spellEnd"/>
      <w:r w:rsidRPr="00F275CA">
        <w:rPr>
          <w:sz w:val="22"/>
          <w:szCs w:val="22"/>
          <w:lang w:eastAsia="en-US"/>
        </w:rPr>
        <w:t xml:space="preserve">  un 4.0mm </w:t>
      </w:r>
      <w:proofErr w:type="spellStart"/>
      <w:r w:rsidRPr="00F275CA">
        <w:rPr>
          <w:sz w:val="22"/>
          <w:szCs w:val="22"/>
          <w:lang w:eastAsia="en-US"/>
        </w:rPr>
        <w:t>kanulēto</w:t>
      </w:r>
      <w:proofErr w:type="spellEnd"/>
      <w:r w:rsidRPr="00F275CA">
        <w:rPr>
          <w:sz w:val="22"/>
          <w:szCs w:val="22"/>
          <w:lang w:eastAsia="en-US"/>
        </w:rPr>
        <w:t xml:space="preserve"> skrūvju piegāde”</w:t>
      </w:r>
    </w:p>
    <w:p w:rsidR="007B06DB" w:rsidRPr="00F275CA" w:rsidRDefault="007B06DB" w:rsidP="007B06DB">
      <w:pPr>
        <w:spacing w:line="360" w:lineRule="auto"/>
        <w:jc w:val="both"/>
        <w:rPr>
          <w:sz w:val="22"/>
          <w:szCs w:val="22"/>
          <w:lang w:eastAsia="en-US"/>
        </w:rPr>
      </w:pPr>
      <w:r w:rsidRPr="00F275CA">
        <w:rPr>
          <w:sz w:val="22"/>
          <w:szCs w:val="22"/>
          <w:lang w:eastAsia="en-US"/>
        </w:rPr>
        <w:t>20) Atklāts konkurss “Pleca locītavas endoprotēžu piegāde”;</w:t>
      </w:r>
    </w:p>
    <w:p w:rsidR="007B06DB" w:rsidRPr="00F275CA" w:rsidRDefault="007B06DB" w:rsidP="007B06DB">
      <w:pPr>
        <w:spacing w:line="360" w:lineRule="auto"/>
        <w:jc w:val="both"/>
        <w:rPr>
          <w:sz w:val="22"/>
          <w:szCs w:val="22"/>
          <w:lang w:eastAsia="en-US"/>
        </w:rPr>
      </w:pPr>
      <w:r w:rsidRPr="00F275CA">
        <w:rPr>
          <w:sz w:val="22"/>
          <w:szCs w:val="22"/>
          <w:lang w:eastAsia="en-US"/>
        </w:rPr>
        <w:t>21) Atklāts konkurss “Kaulu cementa piegāde”;</w:t>
      </w:r>
    </w:p>
    <w:p w:rsidR="007B06DB" w:rsidRPr="00F275CA" w:rsidRDefault="007B06DB" w:rsidP="007B06DB">
      <w:pPr>
        <w:spacing w:line="360" w:lineRule="auto"/>
        <w:jc w:val="both"/>
        <w:rPr>
          <w:sz w:val="22"/>
          <w:szCs w:val="22"/>
          <w:lang w:eastAsia="en-US"/>
        </w:rPr>
      </w:pPr>
      <w:r w:rsidRPr="00F275CA">
        <w:rPr>
          <w:sz w:val="22"/>
          <w:szCs w:val="22"/>
          <w:lang w:eastAsia="en-US"/>
        </w:rPr>
        <w:t>22) Iepirkuma procedūra “Atkrituma laukuma izbūve”;</w:t>
      </w:r>
    </w:p>
    <w:p w:rsidR="007B06DB" w:rsidRPr="00F275CA" w:rsidRDefault="007B06DB" w:rsidP="007B06DB">
      <w:pPr>
        <w:spacing w:line="360" w:lineRule="auto"/>
        <w:jc w:val="both"/>
        <w:rPr>
          <w:sz w:val="22"/>
          <w:szCs w:val="22"/>
          <w:lang w:eastAsia="en-US"/>
        </w:rPr>
      </w:pPr>
      <w:r w:rsidRPr="00F275CA">
        <w:rPr>
          <w:sz w:val="22"/>
          <w:szCs w:val="22"/>
          <w:lang w:eastAsia="en-US"/>
        </w:rPr>
        <w:t>23) Atklāts konkurss “Spēka un pneimatisko instrumentu komplektācijas daļu nomaiņa un papildināšana”;</w:t>
      </w:r>
    </w:p>
    <w:p w:rsidR="007B06DB" w:rsidRPr="00F275CA" w:rsidRDefault="007B06DB" w:rsidP="007B06DB">
      <w:pPr>
        <w:spacing w:line="360" w:lineRule="auto"/>
        <w:jc w:val="both"/>
        <w:rPr>
          <w:sz w:val="22"/>
          <w:szCs w:val="22"/>
          <w:lang w:eastAsia="en-US"/>
        </w:rPr>
      </w:pPr>
      <w:r w:rsidRPr="00F275CA">
        <w:rPr>
          <w:sz w:val="22"/>
          <w:szCs w:val="22"/>
          <w:lang w:eastAsia="en-US"/>
        </w:rPr>
        <w:lastRenderedPageBreak/>
        <w:t>24) Iepirkuma procedūra “Anestēzijas darba staciju un mākslīgo plaušu  ventilācijas iekārtu tehniskā apkope un to rezerves daļu piegāde”;</w:t>
      </w:r>
    </w:p>
    <w:p w:rsidR="007B06DB" w:rsidRPr="00F275CA" w:rsidRDefault="007B06DB" w:rsidP="007B06DB">
      <w:pPr>
        <w:spacing w:line="360" w:lineRule="auto"/>
        <w:jc w:val="both"/>
        <w:rPr>
          <w:sz w:val="22"/>
          <w:szCs w:val="22"/>
          <w:lang w:eastAsia="en-US"/>
        </w:rPr>
      </w:pPr>
      <w:r w:rsidRPr="00F275CA">
        <w:rPr>
          <w:sz w:val="22"/>
          <w:szCs w:val="22"/>
          <w:lang w:eastAsia="en-US"/>
        </w:rPr>
        <w:t>25) Iepirkuma procedūra “Teritorijas apsaimniekošanas pakalpojumu sniegšana”;</w:t>
      </w:r>
    </w:p>
    <w:p w:rsidR="007B06DB" w:rsidRPr="00F275CA" w:rsidRDefault="007B06DB" w:rsidP="007B06DB">
      <w:pPr>
        <w:spacing w:line="360" w:lineRule="auto"/>
        <w:jc w:val="both"/>
        <w:rPr>
          <w:sz w:val="22"/>
          <w:szCs w:val="22"/>
          <w:lang w:eastAsia="en-US"/>
        </w:rPr>
      </w:pPr>
      <w:r w:rsidRPr="00F275CA">
        <w:rPr>
          <w:sz w:val="22"/>
          <w:szCs w:val="22"/>
          <w:lang w:eastAsia="en-US"/>
        </w:rPr>
        <w:t>26) Iepirkuma procedūra “Mākslīgās plaušu  ventilācijas iekārtas piegāde”.</w:t>
      </w:r>
    </w:p>
    <w:p w:rsidR="007B06DB" w:rsidRPr="00F275CA" w:rsidRDefault="007B06DB"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Papildus tika veikta šāda iepirkumu procedūra (jo tika iztērēta iepriekšējā līguma summa) :</w:t>
      </w:r>
    </w:p>
    <w:p w:rsidR="00717992" w:rsidRPr="00F275CA" w:rsidRDefault="00717992" w:rsidP="00717992">
      <w:pPr>
        <w:spacing w:line="360" w:lineRule="auto"/>
        <w:jc w:val="both"/>
        <w:rPr>
          <w:sz w:val="22"/>
          <w:szCs w:val="22"/>
          <w:lang w:eastAsia="en-US"/>
        </w:rPr>
      </w:pPr>
      <w:r w:rsidRPr="00F275CA">
        <w:rPr>
          <w:sz w:val="22"/>
          <w:szCs w:val="22"/>
          <w:lang w:eastAsia="en-US"/>
        </w:rPr>
        <w:t>1) Atklāts konkurss “Tīrīšanas, antiseptiskas apstrādes un kopšanas līdzekļu piegāde”.</w:t>
      </w:r>
    </w:p>
    <w:p w:rsidR="00717992" w:rsidRPr="00F275CA" w:rsidRDefault="00717992" w:rsidP="00717992">
      <w:pPr>
        <w:spacing w:line="360" w:lineRule="auto"/>
        <w:jc w:val="both"/>
        <w:rPr>
          <w:sz w:val="22"/>
          <w:szCs w:val="22"/>
          <w:lang w:eastAsia="en-US"/>
        </w:rPr>
      </w:pPr>
    </w:p>
    <w:p w:rsidR="00717992" w:rsidRPr="00F275CA" w:rsidRDefault="00717992" w:rsidP="00717992">
      <w:pPr>
        <w:spacing w:line="360" w:lineRule="auto"/>
        <w:jc w:val="both"/>
        <w:rPr>
          <w:sz w:val="22"/>
          <w:szCs w:val="22"/>
          <w:lang w:eastAsia="en-US"/>
        </w:rPr>
      </w:pPr>
      <w:r w:rsidRPr="00F275CA">
        <w:rPr>
          <w:sz w:val="22"/>
          <w:szCs w:val="22"/>
          <w:lang w:eastAsia="en-US"/>
        </w:rPr>
        <w:t>ERAF projekta Nr. 9.3.2.0/17/I/002 „Kvalitatīvu veselības aprūpes pakalpojumu pieejamības uzlabošana VSIA "Traumatoloģijas un ortopēdijas slimnīca", attīstot veselības aprūpes infrastruktūru ” ietvaros tika veiktas sekojošas iepirkumu procedūras atbilstoši projekta iepirkumu plānam:</w:t>
      </w:r>
    </w:p>
    <w:p w:rsidR="00717992" w:rsidRPr="00F275CA" w:rsidRDefault="00717992" w:rsidP="00717992">
      <w:pPr>
        <w:pStyle w:val="Sarakstarindkopa"/>
        <w:numPr>
          <w:ilvl w:val="0"/>
          <w:numId w:val="45"/>
        </w:numPr>
        <w:spacing w:before="60" w:line="360" w:lineRule="auto"/>
        <w:contextualSpacing w:val="0"/>
        <w:jc w:val="both"/>
      </w:pPr>
      <w:r w:rsidRPr="00F275CA">
        <w:t>Atklāts konkurss “Būvprojekta izstrāde, saskaņošana un autoruzraudzība VSIA “Traumatoloģijas un ortopēdijas slimnīca” 3. korpusa pārbūves darbiem”;</w:t>
      </w:r>
    </w:p>
    <w:p w:rsidR="00717992" w:rsidRPr="00F275CA" w:rsidRDefault="00717992" w:rsidP="00717992">
      <w:pPr>
        <w:pStyle w:val="Sarakstarindkopa"/>
        <w:numPr>
          <w:ilvl w:val="0"/>
          <w:numId w:val="45"/>
        </w:numPr>
        <w:spacing w:before="60" w:line="360" w:lineRule="auto"/>
        <w:contextualSpacing w:val="0"/>
        <w:jc w:val="both"/>
      </w:pPr>
      <w:r w:rsidRPr="00F275CA">
        <w:rPr>
          <w:bCs/>
        </w:rPr>
        <w:t>Atklāts konkurss “Datortomogrāfijas iekārtas piegāde”</w:t>
      </w:r>
      <w:r w:rsidRPr="00F275CA">
        <w:t>.</w:t>
      </w:r>
    </w:p>
    <w:p w:rsidR="001823E2" w:rsidRPr="00F275CA" w:rsidRDefault="001823E2" w:rsidP="001823E2">
      <w:pPr>
        <w:spacing w:after="200" w:line="360" w:lineRule="auto"/>
        <w:contextualSpacing/>
        <w:jc w:val="both"/>
        <w:rPr>
          <w:sz w:val="22"/>
          <w:szCs w:val="22"/>
          <w:lang w:eastAsia="en-US"/>
        </w:rPr>
      </w:pPr>
    </w:p>
    <w:p w:rsidR="001823E2" w:rsidRPr="00F275CA" w:rsidRDefault="001823E2" w:rsidP="001823E2">
      <w:pPr>
        <w:spacing w:after="200" w:line="360" w:lineRule="auto"/>
        <w:contextualSpacing/>
        <w:jc w:val="both"/>
        <w:rPr>
          <w:sz w:val="22"/>
          <w:szCs w:val="22"/>
          <w:lang w:eastAsia="en-US"/>
        </w:rPr>
      </w:pPr>
      <w:r w:rsidRPr="00F275CA">
        <w:rPr>
          <w:sz w:val="22"/>
          <w:szCs w:val="22"/>
          <w:lang w:eastAsia="en-US"/>
        </w:rPr>
        <w:t xml:space="preserve">Savukārt, lai nodrošinātu ISO 9001 noteiktajiem standartiem atbilstošu Slimnīcas darbību, tika veiktas sekojošas darbības kvalitātes sistēmas </w:t>
      </w:r>
      <w:r w:rsidR="00717992" w:rsidRPr="00F275CA">
        <w:rPr>
          <w:sz w:val="22"/>
          <w:szCs w:val="22"/>
          <w:lang w:eastAsia="en-US"/>
        </w:rPr>
        <w:t>uzturēšanai: laika posmā no 2018</w:t>
      </w:r>
      <w:r w:rsidRPr="00F275CA">
        <w:rPr>
          <w:sz w:val="22"/>
          <w:szCs w:val="22"/>
          <w:lang w:eastAsia="en-US"/>
        </w:rPr>
        <w:t>. ga</w:t>
      </w:r>
      <w:r w:rsidR="00DE01C0" w:rsidRPr="00F275CA">
        <w:rPr>
          <w:sz w:val="22"/>
          <w:szCs w:val="22"/>
          <w:lang w:eastAsia="en-US"/>
        </w:rPr>
        <w:t>da 1. janvāra līdz 201</w:t>
      </w:r>
      <w:r w:rsidR="00717992" w:rsidRPr="00F275CA">
        <w:rPr>
          <w:sz w:val="22"/>
          <w:szCs w:val="22"/>
          <w:lang w:eastAsia="en-US"/>
        </w:rPr>
        <w:t>8</w:t>
      </w:r>
      <w:r w:rsidR="007B06DB" w:rsidRPr="00F275CA">
        <w:rPr>
          <w:sz w:val="22"/>
          <w:szCs w:val="22"/>
          <w:lang w:eastAsia="en-US"/>
        </w:rPr>
        <w:t>. gada 30</w:t>
      </w:r>
      <w:r w:rsidR="00B336CD" w:rsidRPr="00F275CA">
        <w:rPr>
          <w:sz w:val="22"/>
          <w:szCs w:val="22"/>
          <w:lang w:eastAsia="en-US"/>
        </w:rPr>
        <w:t xml:space="preserve">. </w:t>
      </w:r>
      <w:r w:rsidR="007B06DB" w:rsidRPr="00F275CA">
        <w:rPr>
          <w:sz w:val="22"/>
          <w:szCs w:val="22"/>
          <w:lang w:eastAsia="en-US"/>
        </w:rPr>
        <w:t>jūnijam</w:t>
      </w:r>
      <w:r w:rsidRPr="00F275CA">
        <w:rPr>
          <w:sz w:val="22"/>
          <w:szCs w:val="22"/>
          <w:lang w:eastAsia="en-US"/>
        </w:rPr>
        <w:t xml:space="preserve"> Slimnīcā ir izstrādāti un/vai aktualizēti un apstiprināti sekojoši iekšējie normatīvie dokumenti:</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 xml:space="preserve">Nolikums par Mikrobioloģijas un </w:t>
      </w:r>
      <w:proofErr w:type="spellStart"/>
      <w:r w:rsidRPr="00F275CA">
        <w:rPr>
          <w:sz w:val="22"/>
          <w:szCs w:val="22"/>
          <w:lang w:eastAsia="en-US"/>
        </w:rPr>
        <w:t>patohistoloģijas</w:t>
      </w:r>
      <w:proofErr w:type="spellEnd"/>
      <w:r w:rsidRPr="00F275CA">
        <w:rPr>
          <w:sz w:val="22"/>
          <w:szCs w:val="22"/>
          <w:lang w:eastAsia="en-US"/>
        </w:rPr>
        <w:t xml:space="preserve"> apvienoto laboratoriju;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Traumatoloģijas centra (4. nodaļas) ārstējamo pacientu grupas, orientējoši ārstēšanas algoritmi atbilstoši grupām;</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radušos atkritumu apsaimniekošanu;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pacienta ar pedikulozi aprūpi;</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būtiskas pacienta veselības informācijas saturu, apjomu un kvalitāti nododot citai ārstniecības personai / iestādei;</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pacienta ar kašķi aprūpi;</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pacienta sagatavošanu ķirurģiskai operācijai;</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rīcību gadījumos, kad notikusi saskare ar HIV, B un C hepatīta iespējami inficētiem instrumentiem;</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izlietotās veļas savākšanu, šķirošanu un nodošanu veļas mazgātavā;</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instrumentu sterilizācijas procesa kvalitātes kontroli un dokumentāciju;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instrumentu nodošanu remontā;</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rīcību aparatūras bojājuma gadījumā;</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lastRenderedPageBreak/>
        <w:t xml:space="preserve">Instrukcija par </w:t>
      </w:r>
      <w:proofErr w:type="spellStart"/>
      <w:r w:rsidRPr="00F275CA">
        <w:rPr>
          <w:sz w:val="22"/>
          <w:szCs w:val="22"/>
          <w:lang w:eastAsia="en-US"/>
        </w:rPr>
        <w:t>osteosintēzes</w:t>
      </w:r>
      <w:proofErr w:type="spellEnd"/>
      <w:r w:rsidRPr="00F275CA">
        <w:rPr>
          <w:sz w:val="22"/>
          <w:szCs w:val="22"/>
          <w:lang w:eastAsia="en-US"/>
        </w:rPr>
        <w:t xml:space="preserve"> implantu izsniegšanu no implantu noliktavas;</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sterilā materiāla transportēšanu;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instrumentu sterilizācijas paņēmieniem;</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darbībām ar tīro veļu;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sterilā materiāla glabāšanas prasībām un derīguma termiņiem;</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 xml:space="preserve">Instrukcija par </w:t>
      </w:r>
      <w:proofErr w:type="spellStart"/>
      <w:r w:rsidRPr="00F275CA">
        <w:rPr>
          <w:sz w:val="22"/>
          <w:szCs w:val="22"/>
          <w:lang w:eastAsia="en-US"/>
        </w:rPr>
        <w:t>osteosintēzes</w:t>
      </w:r>
      <w:proofErr w:type="spellEnd"/>
      <w:r w:rsidRPr="00F275CA">
        <w:rPr>
          <w:sz w:val="22"/>
          <w:szCs w:val="22"/>
          <w:lang w:eastAsia="en-US"/>
        </w:rPr>
        <w:t xml:space="preserve"> implantu norakstīšanu ĶON;</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Instrukcija par telpu uzkopšanas darba organizāciju;</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Stacionāra pacientu kustības un gultu fonda uzskaite;</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Ārstnieciskā darba analīze;</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Darba tiesisko attiecību nodibināšana;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Darba tiesisko attiecību izbeigšana;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 xml:space="preserve">Procesa apraksts - Pārējā personāla </w:t>
      </w:r>
      <w:proofErr w:type="spellStart"/>
      <w:r w:rsidRPr="00F275CA">
        <w:rPr>
          <w:sz w:val="22"/>
          <w:szCs w:val="22"/>
          <w:lang w:eastAsia="en-US"/>
        </w:rPr>
        <w:t>pēcdiploma</w:t>
      </w:r>
      <w:proofErr w:type="spellEnd"/>
      <w:r w:rsidRPr="00F275CA">
        <w:rPr>
          <w:sz w:val="22"/>
          <w:szCs w:val="22"/>
          <w:lang w:eastAsia="en-US"/>
        </w:rPr>
        <w:t xml:space="preserve"> apmācība;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 xml:space="preserve">Procesa apraksts - Pacientu plūsma </w:t>
      </w:r>
      <w:proofErr w:type="spellStart"/>
      <w:r w:rsidRPr="00F275CA">
        <w:rPr>
          <w:sz w:val="22"/>
          <w:szCs w:val="22"/>
          <w:lang w:eastAsia="en-US"/>
        </w:rPr>
        <w:t>Traumpunkts</w:t>
      </w:r>
      <w:proofErr w:type="spellEnd"/>
      <w:r w:rsidRPr="00F275CA">
        <w:rPr>
          <w:sz w:val="22"/>
          <w:szCs w:val="22"/>
          <w:lang w:eastAsia="en-US"/>
        </w:rPr>
        <w:t>-uzņemšanas nodaļā;</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Ambulatora pacienta diagnostiskās radioloģijas izmeklēšana;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Stacionāra pacienta diagnostiskās radioloģijas izmeklēšana;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Telpu uzkopšanas kārtība;</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Darbs ar aparatūru, inventāru, medikamentiem, palīglīdzekļiem, instrumentiem un implantiem Centralizētās sterilizācijas un sterilo materiālu apgādes nodaļā;</w:t>
      </w:r>
    </w:p>
    <w:p w:rsidR="00717992" w:rsidRPr="00F275CA" w:rsidRDefault="00717992" w:rsidP="00717992">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Centralizētās sterilizācijas un sterilo materiālu apgādes nodaļas darbības organizācij</w:t>
      </w:r>
      <w:r w:rsidR="007B06DB" w:rsidRPr="00F275CA">
        <w:rPr>
          <w:sz w:val="22"/>
          <w:szCs w:val="22"/>
          <w:lang w:eastAsia="en-US"/>
        </w:rPr>
        <w:t>a un kvalitātes kontrole;</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Pacientu ēdināšanas procesu risku novērtējums;</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Vispārīgo risku novērtējums;</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SBAR mutiskai / telefoniskai ārstniecības personāla komunikācijai;</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Telpu tīrīšanas plāns;</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Paziņojums par Mikrobioloģijas un </w:t>
      </w:r>
      <w:proofErr w:type="spellStart"/>
      <w:r w:rsidRPr="00F275CA">
        <w:rPr>
          <w:sz w:val="22"/>
          <w:szCs w:val="22"/>
          <w:lang w:eastAsia="en-US"/>
        </w:rPr>
        <w:t>patohistoloģijas</w:t>
      </w:r>
      <w:proofErr w:type="spellEnd"/>
      <w:r w:rsidRPr="00F275CA">
        <w:rPr>
          <w:sz w:val="22"/>
          <w:szCs w:val="22"/>
          <w:lang w:eastAsia="en-US"/>
        </w:rPr>
        <w:t xml:space="preserve"> apvienotās laboratorijas vadības pārskats par laika periodu 2017. gada 23. marts-2018. gada 15. maijs;</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Materiālu reģistrēšanas un marķēšanas instrukcija </w:t>
      </w:r>
      <w:proofErr w:type="spellStart"/>
      <w:r w:rsidRPr="00F275CA">
        <w:rPr>
          <w:sz w:val="22"/>
          <w:szCs w:val="22"/>
          <w:lang w:eastAsia="en-US"/>
        </w:rPr>
        <w:t>Patohistoloģijas</w:t>
      </w:r>
      <w:proofErr w:type="spellEnd"/>
      <w:r w:rsidRPr="00F275CA">
        <w:rPr>
          <w:sz w:val="22"/>
          <w:szCs w:val="22"/>
          <w:lang w:eastAsia="en-US"/>
        </w:rPr>
        <w:t xml:space="preserve"> un audu konservācijas laboratorijā;</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Izmeklēšanas rezultātu ārējās kvalitātes kontrole </w:t>
      </w:r>
      <w:proofErr w:type="spellStart"/>
      <w:r w:rsidRPr="00F275CA">
        <w:rPr>
          <w:sz w:val="22"/>
          <w:szCs w:val="22"/>
          <w:lang w:eastAsia="en-US"/>
        </w:rPr>
        <w:t>Patohistoloģijas</w:t>
      </w:r>
      <w:proofErr w:type="spellEnd"/>
      <w:r w:rsidRPr="00F275CA">
        <w:rPr>
          <w:sz w:val="22"/>
          <w:szCs w:val="22"/>
          <w:lang w:eastAsia="en-US"/>
        </w:rPr>
        <w:t xml:space="preserve"> un audu konservācijas laboratorijā;</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lastRenderedPageBreak/>
        <w:t xml:space="preserve">Instrukcija par rīcību gadījumos, kad pacients atsakās no </w:t>
      </w:r>
      <w:proofErr w:type="spellStart"/>
      <w:r w:rsidRPr="00F275CA">
        <w:rPr>
          <w:sz w:val="22"/>
          <w:szCs w:val="22"/>
          <w:lang w:eastAsia="en-US"/>
        </w:rPr>
        <w:t>asisns</w:t>
      </w:r>
      <w:proofErr w:type="spellEnd"/>
      <w:r w:rsidRPr="00F275CA">
        <w:rPr>
          <w:sz w:val="22"/>
          <w:szCs w:val="22"/>
          <w:lang w:eastAsia="en-US"/>
        </w:rPr>
        <w:t xml:space="preserve"> pagatavojumu </w:t>
      </w:r>
      <w:proofErr w:type="spellStart"/>
      <w:r w:rsidRPr="00F275CA">
        <w:rPr>
          <w:sz w:val="22"/>
          <w:szCs w:val="22"/>
          <w:lang w:eastAsia="en-US"/>
        </w:rPr>
        <w:t>transfūzijas</w:t>
      </w:r>
      <w:proofErr w:type="spellEnd"/>
      <w:r w:rsidRPr="00F275CA">
        <w:rPr>
          <w:sz w:val="22"/>
          <w:szCs w:val="22"/>
          <w:lang w:eastAsia="en-US"/>
        </w:rPr>
        <w:t>;</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Instrukcija par plānveida operāciju rindu vadību;</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Instrukcija par rīcību gadījumos, ja nepieciešama steidzama asins komponentu pasūtīšana ārpus Asins kabineta darba laika;</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Instrukcija par endoprotēžu, mugurkaula un </w:t>
      </w:r>
      <w:proofErr w:type="spellStart"/>
      <w:r w:rsidRPr="00F275CA">
        <w:rPr>
          <w:sz w:val="22"/>
          <w:szCs w:val="22"/>
          <w:lang w:eastAsia="en-US"/>
        </w:rPr>
        <w:t>vertebroloģisko</w:t>
      </w:r>
      <w:proofErr w:type="spellEnd"/>
      <w:r w:rsidRPr="00F275CA">
        <w:rPr>
          <w:sz w:val="22"/>
          <w:szCs w:val="22"/>
          <w:lang w:eastAsia="en-US"/>
        </w:rPr>
        <w:t xml:space="preserve"> implantu uzskaiti un norakstīšanu;</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Instrukcija par rīcību bojāta endoprotēžu un mugurkaulu implantu gadījumā;</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Procesa apraksts - Ārstniecības procesa pacientu ar ortopēdiskām saslimšanām organizēšana;</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Endoprotēžu un </w:t>
      </w:r>
      <w:proofErr w:type="spellStart"/>
      <w:r w:rsidRPr="00F275CA">
        <w:rPr>
          <w:sz w:val="22"/>
          <w:szCs w:val="22"/>
          <w:lang w:eastAsia="en-US"/>
        </w:rPr>
        <w:t>vertebroloģijas</w:t>
      </w:r>
      <w:proofErr w:type="spellEnd"/>
      <w:r w:rsidRPr="00F275CA">
        <w:rPr>
          <w:sz w:val="22"/>
          <w:szCs w:val="22"/>
          <w:lang w:eastAsia="en-US"/>
        </w:rPr>
        <w:t xml:space="preserve"> implantu saņemšana, pasūtīšana, uzskaite, glabāšana un norakstīšana;</w:t>
      </w:r>
    </w:p>
    <w:p w:rsidR="007B06DB" w:rsidRPr="00F275CA" w:rsidRDefault="007B06DB" w:rsidP="007B06DB">
      <w:pPr>
        <w:numPr>
          <w:ilvl w:val="0"/>
          <w:numId w:val="9"/>
        </w:numPr>
        <w:spacing w:before="60" w:line="360" w:lineRule="auto"/>
        <w:ind w:left="1276" w:hanging="567"/>
        <w:jc w:val="both"/>
        <w:rPr>
          <w:sz w:val="22"/>
          <w:szCs w:val="22"/>
          <w:lang w:eastAsia="en-US"/>
        </w:rPr>
      </w:pPr>
      <w:r w:rsidRPr="00F275CA">
        <w:rPr>
          <w:sz w:val="22"/>
          <w:szCs w:val="22"/>
          <w:lang w:eastAsia="en-US"/>
        </w:rPr>
        <w:t xml:space="preserve">Ārstniecības procesa organizēšana un nodrošināšana pacientiem, kuri atsakās no asins pagatavojumu </w:t>
      </w:r>
      <w:proofErr w:type="spellStart"/>
      <w:r w:rsidRPr="00F275CA">
        <w:rPr>
          <w:sz w:val="22"/>
          <w:szCs w:val="22"/>
          <w:lang w:eastAsia="en-US"/>
        </w:rPr>
        <w:t>transfūzijas</w:t>
      </w:r>
      <w:proofErr w:type="spellEnd"/>
      <w:r w:rsidRPr="00F275CA">
        <w:rPr>
          <w:sz w:val="22"/>
          <w:szCs w:val="22"/>
          <w:lang w:eastAsia="en-US"/>
        </w:rPr>
        <w:t>.</w:t>
      </w:r>
    </w:p>
    <w:p w:rsidR="00717992" w:rsidRPr="00F275CA" w:rsidRDefault="00717992" w:rsidP="00717992">
      <w:pPr>
        <w:spacing w:before="60" w:line="360" w:lineRule="auto"/>
        <w:ind w:left="1276"/>
        <w:jc w:val="both"/>
        <w:rPr>
          <w:sz w:val="22"/>
          <w:szCs w:val="22"/>
          <w:lang w:eastAsia="en-US"/>
        </w:rPr>
      </w:pPr>
    </w:p>
    <w:p w:rsidR="001823E2" w:rsidRPr="00F275CA" w:rsidRDefault="001823E2" w:rsidP="001823E2">
      <w:pPr>
        <w:spacing w:line="360" w:lineRule="auto"/>
        <w:jc w:val="both"/>
        <w:rPr>
          <w:sz w:val="22"/>
          <w:szCs w:val="22"/>
        </w:rPr>
      </w:pPr>
      <w:r w:rsidRPr="00F275CA">
        <w:rPr>
          <w:sz w:val="22"/>
          <w:szCs w:val="22"/>
        </w:rPr>
        <w:t>Kvalitātes vadības sistēmu pārskatu sapu</w:t>
      </w:r>
      <w:r w:rsidR="00613937" w:rsidRPr="00F275CA">
        <w:rPr>
          <w:sz w:val="22"/>
          <w:szCs w:val="22"/>
        </w:rPr>
        <w:t>lcēs 201</w:t>
      </w:r>
      <w:r w:rsidR="00717992" w:rsidRPr="00F275CA">
        <w:rPr>
          <w:sz w:val="22"/>
          <w:szCs w:val="22"/>
        </w:rPr>
        <w:t>8</w:t>
      </w:r>
      <w:r w:rsidR="00D40247" w:rsidRPr="00F275CA">
        <w:rPr>
          <w:sz w:val="22"/>
          <w:szCs w:val="22"/>
        </w:rPr>
        <w:t>. gada pirmajā pusgadā</w:t>
      </w:r>
      <w:r w:rsidRPr="00F275CA">
        <w:rPr>
          <w:sz w:val="22"/>
          <w:szCs w:val="22"/>
        </w:rPr>
        <w:t xml:space="preserve">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F275CA" w:rsidRDefault="001823E2" w:rsidP="001823E2">
      <w:pPr>
        <w:spacing w:line="360" w:lineRule="auto"/>
        <w:jc w:val="both"/>
        <w:rPr>
          <w:sz w:val="22"/>
          <w:szCs w:val="22"/>
        </w:rPr>
      </w:pPr>
      <w:r w:rsidRPr="00F275CA">
        <w:rPr>
          <w:sz w:val="22"/>
          <w:szCs w:val="22"/>
        </w:rPr>
        <w:t>Iepriekš minētajā laika peri</w:t>
      </w:r>
      <w:r w:rsidR="00D40247" w:rsidRPr="00F275CA">
        <w:rPr>
          <w:sz w:val="22"/>
          <w:szCs w:val="22"/>
        </w:rPr>
        <w:t>odā ir iesniegti un izskatīti 15</w:t>
      </w:r>
      <w:r w:rsidRPr="00F275CA">
        <w:rPr>
          <w:sz w:val="22"/>
          <w:szCs w:val="22"/>
        </w:rPr>
        <w:t xml:space="preserve"> problēmu ziņojumi.</w:t>
      </w:r>
    </w:p>
    <w:p w:rsidR="0085343E" w:rsidRPr="00F275CA" w:rsidRDefault="0085343E" w:rsidP="0085343E">
      <w:pPr>
        <w:spacing w:before="60"/>
        <w:jc w:val="both"/>
      </w:pPr>
    </w:p>
    <w:p w:rsidR="0085343E" w:rsidRPr="00F275CA" w:rsidRDefault="0085343E" w:rsidP="0085343E">
      <w:pPr>
        <w:spacing w:line="360" w:lineRule="auto"/>
        <w:jc w:val="both"/>
        <w:rPr>
          <w:sz w:val="22"/>
          <w:szCs w:val="22"/>
        </w:rPr>
      </w:pPr>
      <w:r w:rsidRPr="00F275CA">
        <w:rPr>
          <w:sz w:val="22"/>
          <w:szCs w:val="22"/>
        </w:rPr>
        <w:t>Iepriekš minētajā laika periodā ir veikti 6 iekšējie auditi šādās struktūrvienībās:</w:t>
      </w:r>
    </w:p>
    <w:p w:rsidR="0085343E" w:rsidRPr="00F275CA" w:rsidRDefault="0085343E" w:rsidP="0085343E">
      <w:pPr>
        <w:pStyle w:val="Sarakstarindkopa"/>
        <w:numPr>
          <w:ilvl w:val="0"/>
          <w:numId w:val="46"/>
        </w:numPr>
        <w:spacing w:line="360" w:lineRule="auto"/>
        <w:jc w:val="both"/>
        <w:rPr>
          <w:sz w:val="22"/>
          <w:szCs w:val="22"/>
        </w:rPr>
      </w:pPr>
      <w:r w:rsidRPr="00F275CA">
        <w:rPr>
          <w:sz w:val="22"/>
          <w:szCs w:val="22"/>
        </w:rPr>
        <w:t>Asins kabinets;</w:t>
      </w:r>
    </w:p>
    <w:p w:rsidR="0085343E" w:rsidRPr="00F275CA" w:rsidRDefault="0085343E" w:rsidP="0085343E">
      <w:pPr>
        <w:pStyle w:val="Sarakstarindkopa"/>
        <w:numPr>
          <w:ilvl w:val="0"/>
          <w:numId w:val="46"/>
        </w:numPr>
        <w:spacing w:line="360" w:lineRule="auto"/>
        <w:jc w:val="both"/>
        <w:rPr>
          <w:sz w:val="22"/>
          <w:szCs w:val="22"/>
        </w:rPr>
      </w:pPr>
      <w:r w:rsidRPr="00F275CA">
        <w:rPr>
          <w:sz w:val="22"/>
          <w:szCs w:val="22"/>
        </w:rPr>
        <w:t>Personāla daļa;</w:t>
      </w:r>
    </w:p>
    <w:p w:rsidR="0085343E" w:rsidRPr="00F275CA" w:rsidRDefault="0085343E" w:rsidP="0085343E">
      <w:pPr>
        <w:pStyle w:val="Sarakstarindkopa"/>
        <w:numPr>
          <w:ilvl w:val="0"/>
          <w:numId w:val="46"/>
        </w:numPr>
        <w:spacing w:line="360" w:lineRule="auto"/>
        <w:jc w:val="both"/>
        <w:rPr>
          <w:sz w:val="22"/>
          <w:szCs w:val="22"/>
        </w:rPr>
      </w:pPr>
      <w:r w:rsidRPr="00F275CA">
        <w:rPr>
          <w:sz w:val="22"/>
          <w:szCs w:val="22"/>
        </w:rPr>
        <w:t>Administratīvais birojs;</w:t>
      </w:r>
    </w:p>
    <w:p w:rsidR="0085343E" w:rsidRPr="00F275CA" w:rsidRDefault="0085343E" w:rsidP="0085343E">
      <w:pPr>
        <w:pStyle w:val="Sarakstarindkopa"/>
        <w:numPr>
          <w:ilvl w:val="0"/>
          <w:numId w:val="46"/>
        </w:numPr>
        <w:spacing w:line="360" w:lineRule="auto"/>
        <w:jc w:val="both"/>
        <w:rPr>
          <w:sz w:val="22"/>
          <w:szCs w:val="22"/>
        </w:rPr>
      </w:pPr>
      <w:r w:rsidRPr="00F275CA">
        <w:rPr>
          <w:sz w:val="22"/>
          <w:szCs w:val="22"/>
        </w:rPr>
        <w:t>Rehabilitācijas nodaļa;</w:t>
      </w:r>
    </w:p>
    <w:p w:rsidR="0085343E" w:rsidRPr="00F275CA" w:rsidRDefault="0085343E" w:rsidP="0085343E">
      <w:pPr>
        <w:pStyle w:val="Sarakstarindkopa"/>
        <w:numPr>
          <w:ilvl w:val="0"/>
          <w:numId w:val="46"/>
        </w:numPr>
        <w:spacing w:line="360" w:lineRule="auto"/>
        <w:jc w:val="both"/>
        <w:rPr>
          <w:sz w:val="22"/>
          <w:szCs w:val="22"/>
        </w:rPr>
      </w:pPr>
      <w:proofErr w:type="spellStart"/>
      <w:r w:rsidRPr="00F275CA">
        <w:rPr>
          <w:sz w:val="22"/>
          <w:szCs w:val="22"/>
        </w:rPr>
        <w:t>Traumpunkts</w:t>
      </w:r>
      <w:proofErr w:type="spellEnd"/>
      <w:r w:rsidRPr="00F275CA">
        <w:rPr>
          <w:sz w:val="22"/>
          <w:szCs w:val="22"/>
        </w:rPr>
        <w:t>-uzņemšanas nodaļa;</w:t>
      </w:r>
    </w:p>
    <w:p w:rsidR="0085343E" w:rsidRPr="00F275CA" w:rsidRDefault="0085343E" w:rsidP="0085343E">
      <w:pPr>
        <w:pStyle w:val="Sarakstarindkopa"/>
        <w:numPr>
          <w:ilvl w:val="0"/>
          <w:numId w:val="46"/>
        </w:numPr>
        <w:spacing w:line="360" w:lineRule="auto"/>
        <w:jc w:val="both"/>
        <w:rPr>
          <w:sz w:val="22"/>
          <w:szCs w:val="22"/>
        </w:rPr>
      </w:pPr>
      <w:r w:rsidRPr="00F275CA">
        <w:rPr>
          <w:sz w:val="22"/>
          <w:szCs w:val="22"/>
        </w:rPr>
        <w:t>1. nodaļa.</w:t>
      </w:r>
    </w:p>
    <w:p w:rsidR="0085343E" w:rsidRPr="00F275CA" w:rsidRDefault="0085343E" w:rsidP="0085343E">
      <w:pPr>
        <w:spacing w:line="360" w:lineRule="auto"/>
        <w:jc w:val="both"/>
        <w:rPr>
          <w:sz w:val="22"/>
          <w:szCs w:val="22"/>
        </w:rPr>
      </w:pPr>
      <w:r w:rsidRPr="00F275CA">
        <w:rPr>
          <w:sz w:val="22"/>
          <w:szCs w:val="22"/>
        </w:rPr>
        <w:t>Auditu laikā auditējamiem tika sniegtas rekomendācijas darbības uzlabošanai.</w:t>
      </w:r>
    </w:p>
    <w:p w:rsidR="0085343E" w:rsidRPr="00F275CA" w:rsidRDefault="0085343E" w:rsidP="0085343E">
      <w:pPr>
        <w:spacing w:line="360" w:lineRule="auto"/>
        <w:jc w:val="both"/>
        <w:rPr>
          <w:sz w:val="22"/>
          <w:szCs w:val="22"/>
        </w:rPr>
      </w:pPr>
    </w:p>
    <w:p w:rsidR="0085343E" w:rsidRPr="00F275CA" w:rsidRDefault="0085343E" w:rsidP="0085343E">
      <w:pPr>
        <w:spacing w:line="360" w:lineRule="auto"/>
        <w:jc w:val="both"/>
        <w:rPr>
          <w:sz w:val="22"/>
          <w:szCs w:val="22"/>
        </w:rPr>
      </w:pPr>
      <w:r w:rsidRPr="00F275CA">
        <w:rPr>
          <w:sz w:val="22"/>
          <w:szCs w:val="22"/>
        </w:rPr>
        <w:t>2018. gada 1. ceturksnī tika apkopoti 2017. gada pacientu aptaujas rezultāti Mugurkaula un locītavu ķirurģijas centrā (3. nodaļa), ir veikts to salīdzinājums ar 2016. gada aptaujas datiem, kā arī noteiktas turpmākās uzlabošanas darbības. Ir veikts slimnīcas piegādātāju novērtējums - novērtēta piegādātāju darbība par 2017. gadu,  nepamierinoši vērtējumi konstatēti netika.</w:t>
      </w:r>
    </w:p>
    <w:p w:rsidR="00D40247" w:rsidRPr="00F275CA" w:rsidRDefault="00D40247" w:rsidP="00D40247">
      <w:pPr>
        <w:spacing w:line="360" w:lineRule="auto"/>
        <w:jc w:val="both"/>
        <w:rPr>
          <w:sz w:val="22"/>
          <w:szCs w:val="22"/>
        </w:rPr>
      </w:pPr>
      <w:r w:rsidRPr="00F275CA">
        <w:rPr>
          <w:sz w:val="22"/>
          <w:szCs w:val="22"/>
        </w:rPr>
        <w:t>2018. gada 2. ceturksnī ir uzsāktas pacientu aptaujas par ārstniecības un aprūpes pakalpojumu kvalitātes novērtējumu Īslaicīgās ķirurģijas centrā (1. nodaļa) un Traumatoloģijas centrā (4. nodaļa).</w:t>
      </w:r>
    </w:p>
    <w:p w:rsidR="0085343E" w:rsidRPr="00F275CA" w:rsidRDefault="0085343E" w:rsidP="0085343E">
      <w:pPr>
        <w:spacing w:line="360" w:lineRule="auto"/>
        <w:jc w:val="both"/>
        <w:rPr>
          <w:sz w:val="22"/>
          <w:szCs w:val="22"/>
        </w:rPr>
      </w:pPr>
    </w:p>
    <w:p w:rsidR="0085343E" w:rsidRPr="00F275CA" w:rsidRDefault="0085343E" w:rsidP="0085343E">
      <w:pPr>
        <w:spacing w:line="360" w:lineRule="auto"/>
        <w:jc w:val="both"/>
        <w:rPr>
          <w:sz w:val="22"/>
          <w:szCs w:val="22"/>
        </w:rPr>
      </w:pPr>
      <w:r w:rsidRPr="00F275CA">
        <w:rPr>
          <w:sz w:val="22"/>
          <w:szCs w:val="22"/>
        </w:rPr>
        <w:lastRenderedPageBreak/>
        <w:t>Laika posmā no 2018. gada 1. janv</w:t>
      </w:r>
      <w:r w:rsidR="00D40247" w:rsidRPr="00F275CA">
        <w:rPr>
          <w:sz w:val="22"/>
          <w:szCs w:val="22"/>
        </w:rPr>
        <w:t>āra līdz 2018. gada 30 jūnijam</w:t>
      </w:r>
      <w:r w:rsidRPr="00F275CA">
        <w:rPr>
          <w:sz w:val="22"/>
          <w:szCs w:val="22"/>
        </w:rPr>
        <w:t xml:space="preserve"> Slimnīcā nav reģistrētu gadījumu par ārstniecības personāla negodprātīgas, neētiskas rīcības situācijām un / vai par interešu konfliktu situācijām.</w:t>
      </w:r>
    </w:p>
    <w:p w:rsidR="0085343E" w:rsidRPr="00F275CA" w:rsidRDefault="0085343E" w:rsidP="0085343E">
      <w:pPr>
        <w:spacing w:before="60" w:line="360" w:lineRule="auto"/>
        <w:jc w:val="both"/>
      </w:pPr>
    </w:p>
    <w:p w:rsidR="0085343E" w:rsidRPr="00F275CA" w:rsidRDefault="0085343E" w:rsidP="0085343E">
      <w:pPr>
        <w:spacing w:line="360" w:lineRule="auto"/>
        <w:jc w:val="both"/>
        <w:rPr>
          <w:sz w:val="22"/>
          <w:szCs w:val="22"/>
        </w:rPr>
      </w:pPr>
      <w:r w:rsidRPr="00F275CA">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F275CA">
        <w:rPr>
          <w:sz w:val="22"/>
          <w:szCs w:val="22"/>
        </w:rPr>
        <w:t>Opis</w:t>
      </w:r>
      <w:proofErr w:type="spellEnd"/>
      <w:r w:rsidRPr="00F275CA">
        <w:rPr>
          <w:sz w:val="22"/>
          <w:szCs w:val="22"/>
        </w:rPr>
        <w:t xml:space="preserve"> operāciju plānošanas sistēma. </w:t>
      </w:r>
    </w:p>
    <w:p w:rsidR="0085343E" w:rsidRPr="00F275CA" w:rsidRDefault="0085343E" w:rsidP="0085343E">
      <w:pPr>
        <w:spacing w:line="360" w:lineRule="auto"/>
        <w:jc w:val="both"/>
        <w:rPr>
          <w:sz w:val="22"/>
          <w:szCs w:val="22"/>
        </w:rPr>
      </w:pPr>
      <w:r w:rsidRPr="00F275CA">
        <w:rPr>
          <w:sz w:val="22"/>
          <w:szCs w:val="22"/>
        </w:rPr>
        <w:t>2018.gada 1.ceturksnī tika veikta iekšējās pacientu pārvaldības sistēmas integrācija ar e-veselības sistēmu. Personāls ir apmācīts un ir uzsācis darbu e-veselības vidē.</w:t>
      </w:r>
    </w:p>
    <w:p w:rsidR="0085343E" w:rsidRPr="00F275CA" w:rsidRDefault="0085343E" w:rsidP="0085343E">
      <w:pPr>
        <w:spacing w:line="360" w:lineRule="auto"/>
        <w:jc w:val="both"/>
        <w:rPr>
          <w:sz w:val="22"/>
          <w:szCs w:val="22"/>
        </w:rPr>
      </w:pPr>
      <w:r w:rsidRPr="00F275CA">
        <w:rPr>
          <w:sz w:val="22"/>
          <w:szCs w:val="22"/>
        </w:rPr>
        <w:t xml:space="preserve">Ir veikti uzlabojumi Slimnīcas balss sakaru sistēmā, būtiski palielinot zvanu kapacitāti uz mobilajiem operatoriem, kā arī tika radīta iespēja sūtīt īsziņas no Slimnīcas datortīkla. </w:t>
      </w:r>
    </w:p>
    <w:p w:rsidR="0085343E" w:rsidRPr="00F275CA" w:rsidRDefault="0085343E" w:rsidP="0085343E">
      <w:pPr>
        <w:spacing w:line="360" w:lineRule="auto"/>
        <w:jc w:val="both"/>
        <w:rPr>
          <w:sz w:val="22"/>
          <w:szCs w:val="22"/>
        </w:rPr>
      </w:pPr>
      <w:r w:rsidRPr="00F275CA">
        <w:rPr>
          <w:sz w:val="22"/>
          <w:szCs w:val="22"/>
        </w:rPr>
        <w:t xml:space="preserve">2018.gada 1.ceturksnī tika veikts iepirkums, lai nodrošinātu personu datu apstrādes speciālista darbu Slimnīcā. </w:t>
      </w:r>
      <w:r w:rsidR="00D40247" w:rsidRPr="00F275CA">
        <w:rPr>
          <w:sz w:val="22"/>
          <w:szCs w:val="22"/>
        </w:rPr>
        <w:t xml:space="preserve">Iekšējās Slimnīcas IT sistēmas tika pielāgotas Vispārējās datu aizsardzības regulas prasībām. </w:t>
      </w:r>
    </w:p>
    <w:p w:rsidR="00D40247" w:rsidRPr="00F275CA" w:rsidRDefault="00D40247" w:rsidP="00D40247">
      <w:pPr>
        <w:spacing w:line="360" w:lineRule="auto"/>
        <w:jc w:val="both"/>
        <w:rPr>
          <w:sz w:val="22"/>
          <w:szCs w:val="22"/>
        </w:rPr>
      </w:pPr>
      <w:r w:rsidRPr="00F275CA">
        <w:rPr>
          <w:sz w:val="22"/>
          <w:szCs w:val="22"/>
        </w:rPr>
        <w:t>2018.gada 2.ceturksnī tika ieviesta jauna radioloģijas informācijas sistēma un tika apmācīti lietotāji.</w:t>
      </w:r>
    </w:p>
    <w:p w:rsidR="0085343E" w:rsidRPr="00F275CA" w:rsidRDefault="0085343E" w:rsidP="0085343E">
      <w:pPr>
        <w:spacing w:line="360" w:lineRule="auto"/>
        <w:jc w:val="both"/>
        <w:rPr>
          <w:sz w:val="22"/>
          <w:szCs w:val="22"/>
        </w:rPr>
      </w:pPr>
    </w:p>
    <w:p w:rsidR="0085343E" w:rsidRPr="00F275CA" w:rsidRDefault="0085343E" w:rsidP="0085343E">
      <w:pPr>
        <w:spacing w:line="360" w:lineRule="auto"/>
        <w:jc w:val="both"/>
        <w:rPr>
          <w:sz w:val="22"/>
          <w:szCs w:val="22"/>
        </w:rPr>
      </w:pPr>
      <w:r w:rsidRPr="00F275CA">
        <w:rPr>
          <w:sz w:val="22"/>
          <w:szCs w:val="22"/>
        </w:rPr>
        <w:t xml:space="preserve">Ārstniecības personāla </w:t>
      </w:r>
      <w:proofErr w:type="spellStart"/>
      <w:r w:rsidRPr="00F275CA">
        <w:rPr>
          <w:sz w:val="22"/>
          <w:szCs w:val="22"/>
        </w:rPr>
        <w:t>pēcdiploma</w:t>
      </w:r>
      <w:proofErr w:type="spellEnd"/>
      <w:r w:rsidRPr="00F275CA">
        <w:rPr>
          <w:sz w:val="22"/>
          <w:szCs w:val="22"/>
        </w:rPr>
        <w:t xml:space="preserve"> tālākizglītības ietvaros Slimnīca turpina nodrošināt galvenās māsas dalību Veselības Ministrijas organizētajā, SPKC vadītajā darba grupā par Pacientu drošību un ārstniecības procesu kvalitāti. Darbības ietvaros notiek aktīvs mācīšanās process un vadlīniju izstrāde Pacientu drošībā.</w:t>
      </w:r>
    </w:p>
    <w:p w:rsidR="00D40247" w:rsidRPr="00F275CA" w:rsidRDefault="00D40247" w:rsidP="0085343E">
      <w:pPr>
        <w:spacing w:line="360" w:lineRule="auto"/>
        <w:jc w:val="both"/>
        <w:rPr>
          <w:sz w:val="22"/>
          <w:szCs w:val="22"/>
        </w:rPr>
      </w:pPr>
      <w:r w:rsidRPr="00F275CA">
        <w:rPr>
          <w:sz w:val="22"/>
          <w:szCs w:val="22"/>
        </w:rPr>
        <w:t>Tālākizglītības apmācības jomā  Slimnīca ir deleģējusī galveno māsu piedalīties PVO Latvijā un SPKC organizētajā “Kapacitātes pilnveides seminārā par drošu ķirurģijas praksi” un VM/NVD/SPKC/RSU organizētajā starptautiskajā konferencē  “Uzlabojot pacientu drošību un pakalpojumu kvalitāti Latvijā”.</w:t>
      </w:r>
    </w:p>
    <w:p w:rsidR="0085343E" w:rsidRPr="00F275CA" w:rsidRDefault="0085343E" w:rsidP="0085343E">
      <w:pPr>
        <w:spacing w:line="360" w:lineRule="auto"/>
        <w:jc w:val="both"/>
        <w:rPr>
          <w:sz w:val="22"/>
          <w:szCs w:val="22"/>
        </w:rPr>
      </w:pPr>
      <w:r w:rsidRPr="00F275CA">
        <w:rPr>
          <w:sz w:val="22"/>
          <w:szCs w:val="22"/>
        </w:rPr>
        <w:t>Rūpējoties par pacientu drošību un uzturot aktuālas ārstniecības personu profesionālās zināšanas, Slimnīca ir realizējusi darbiniekiem tālākizglītības tematiskos seminārus: Klīniskajā praksē – “Antibakteriālā profilakse ķirurģiskiem pacientiem pirms operācijas etaps” un “Konfliktu risināšanas modeļi”.</w:t>
      </w:r>
    </w:p>
    <w:p w:rsidR="00967324" w:rsidRPr="00F275CA" w:rsidRDefault="00967324" w:rsidP="001823E2">
      <w:pPr>
        <w:jc w:val="both"/>
        <w:rPr>
          <w:sz w:val="22"/>
          <w:szCs w:val="22"/>
        </w:rPr>
      </w:pPr>
    </w:p>
    <w:p w:rsidR="001823E2" w:rsidRPr="00F275CA" w:rsidRDefault="001823E2" w:rsidP="001823E2">
      <w:pPr>
        <w:jc w:val="both"/>
        <w:rPr>
          <w:sz w:val="22"/>
          <w:szCs w:val="22"/>
        </w:rPr>
      </w:pPr>
      <w:r w:rsidRPr="00F275CA">
        <w:rPr>
          <w:sz w:val="22"/>
          <w:szCs w:val="22"/>
        </w:rPr>
        <w:t>Valdes priekšsēdētāja</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proofErr w:type="spellStart"/>
      <w:r w:rsidRPr="00F275CA">
        <w:rPr>
          <w:sz w:val="22"/>
          <w:szCs w:val="22"/>
        </w:rPr>
        <w:t>A.Vaivode</w:t>
      </w:r>
      <w:proofErr w:type="spellEnd"/>
    </w:p>
    <w:p w:rsidR="001823E2" w:rsidRPr="00F275CA" w:rsidRDefault="001823E2" w:rsidP="001823E2">
      <w:pPr>
        <w:jc w:val="both"/>
        <w:rPr>
          <w:sz w:val="22"/>
          <w:szCs w:val="22"/>
        </w:rPr>
      </w:pPr>
    </w:p>
    <w:p w:rsidR="001823E2" w:rsidRPr="00F275CA" w:rsidRDefault="001823E2" w:rsidP="001823E2">
      <w:pPr>
        <w:jc w:val="both"/>
        <w:rPr>
          <w:sz w:val="22"/>
          <w:szCs w:val="22"/>
        </w:rPr>
      </w:pPr>
      <w:r w:rsidRPr="00F275CA">
        <w:rPr>
          <w:sz w:val="22"/>
          <w:szCs w:val="22"/>
        </w:rPr>
        <w:t>Valdes locekle</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proofErr w:type="spellStart"/>
      <w:r w:rsidRPr="00F275CA">
        <w:rPr>
          <w:sz w:val="22"/>
          <w:szCs w:val="22"/>
        </w:rPr>
        <w:t>I.Rantiņa</w:t>
      </w:r>
      <w:proofErr w:type="spellEnd"/>
    </w:p>
    <w:p w:rsidR="001823E2" w:rsidRPr="00F275CA" w:rsidRDefault="001823E2" w:rsidP="001823E2">
      <w:pPr>
        <w:jc w:val="both"/>
        <w:rPr>
          <w:sz w:val="22"/>
          <w:szCs w:val="22"/>
        </w:rPr>
      </w:pPr>
    </w:p>
    <w:p w:rsidR="001823E2" w:rsidRPr="00F275CA" w:rsidRDefault="001823E2" w:rsidP="001823E2">
      <w:pPr>
        <w:jc w:val="both"/>
        <w:rPr>
          <w:sz w:val="22"/>
          <w:szCs w:val="22"/>
        </w:rPr>
      </w:pPr>
      <w:r w:rsidRPr="00F275CA">
        <w:rPr>
          <w:sz w:val="22"/>
          <w:szCs w:val="22"/>
        </w:rPr>
        <w:t>Valdes loceklis</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proofErr w:type="spellStart"/>
      <w:r w:rsidRPr="00F275CA">
        <w:rPr>
          <w:sz w:val="22"/>
          <w:szCs w:val="22"/>
        </w:rPr>
        <w:t>M.Ciems</w:t>
      </w:r>
      <w:proofErr w:type="spellEnd"/>
    </w:p>
    <w:p w:rsidR="008B42FE" w:rsidRPr="00F275CA" w:rsidRDefault="001823E2" w:rsidP="001823E2">
      <w:pPr>
        <w:jc w:val="both"/>
        <w:rPr>
          <w:sz w:val="22"/>
          <w:szCs w:val="22"/>
        </w:rPr>
      </w:pP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w:t>
      </w:r>
      <w:r w:rsidR="00410052" w:rsidRPr="00F275CA">
        <w:rPr>
          <w:sz w:val="22"/>
          <w:szCs w:val="22"/>
        </w:rPr>
        <w:t xml:space="preserve">                </w:t>
      </w:r>
    </w:p>
    <w:sectPr w:rsidR="008B42FE" w:rsidRPr="00F275CA"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BC" w:rsidRDefault="006D0EBC" w:rsidP="000352AC">
      <w:r>
        <w:separator/>
      </w:r>
    </w:p>
  </w:endnote>
  <w:endnote w:type="continuationSeparator" w:id="0">
    <w:p w:rsidR="006D0EBC" w:rsidRDefault="006D0EBC"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177127"/>
      <w:docPartObj>
        <w:docPartGallery w:val="Page Numbers (Bottom of Page)"/>
        <w:docPartUnique/>
      </w:docPartObj>
    </w:sdtPr>
    <w:sdtContent>
      <w:p w:rsidR="00E82FBB" w:rsidRDefault="00E82FBB">
        <w:pPr>
          <w:pStyle w:val="Kjene"/>
          <w:jc w:val="right"/>
        </w:pPr>
        <w:r>
          <w:fldChar w:fldCharType="begin"/>
        </w:r>
        <w:r>
          <w:instrText>PAGE   \* MERGEFORMAT</w:instrText>
        </w:r>
        <w:r>
          <w:fldChar w:fldCharType="separate"/>
        </w:r>
        <w:r w:rsidR="009C01F2">
          <w:rPr>
            <w:noProof/>
          </w:rPr>
          <w:t>4</w:t>
        </w:r>
        <w:r>
          <w:fldChar w:fldCharType="end"/>
        </w:r>
      </w:p>
    </w:sdtContent>
  </w:sdt>
  <w:p w:rsidR="00E82FBB" w:rsidRDefault="00E82FB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86435"/>
      <w:docPartObj>
        <w:docPartGallery w:val="Page Numbers (Bottom of Page)"/>
        <w:docPartUnique/>
      </w:docPartObj>
    </w:sdtPr>
    <w:sdtContent>
      <w:p w:rsidR="00E82FBB" w:rsidRDefault="00E82FBB">
        <w:pPr>
          <w:pStyle w:val="Kjene"/>
          <w:jc w:val="center"/>
        </w:pPr>
        <w:r>
          <w:fldChar w:fldCharType="begin"/>
        </w:r>
        <w:r>
          <w:instrText>PAGE   \* MERGEFORMAT</w:instrText>
        </w:r>
        <w:r>
          <w:fldChar w:fldCharType="separate"/>
        </w:r>
        <w:r>
          <w:rPr>
            <w:noProof/>
          </w:rPr>
          <w:t>5</w:t>
        </w:r>
        <w:r>
          <w:fldChar w:fldCharType="end"/>
        </w:r>
      </w:p>
    </w:sdtContent>
  </w:sdt>
  <w:p w:rsidR="00E82FBB" w:rsidRDefault="00E82FBB">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20944"/>
      <w:docPartObj>
        <w:docPartGallery w:val="Page Numbers (Bottom of Page)"/>
        <w:docPartUnique/>
      </w:docPartObj>
    </w:sdtPr>
    <w:sdtContent>
      <w:p w:rsidR="00E82FBB" w:rsidRDefault="00E82FBB">
        <w:pPr>
          <w:pStyle w:val="Kjene"/>
          <w:jc w:val="right"/>
        </w:pPr>
        <w:r>
          <w:fldChar w:fldCharType="begin"/>
        </w:r>
        <w:r>
          <w:instrText>PAGE   \* MERGEFORMAT</w:instrText>
        </w:r>
        <w:r>
          <w:fldChar w:fldCharType="separate"/>
        </w:r>
        <w:r w:rsidR="009C01F2">
          <w:rPr>
            <w:noProof/>
          </w:rPr>
          <w:t>12</w:t>
        </w:r>
        <w:r>
          <w:fldChar w:fldCharType="end"/>
        </w:r>
      </w:p>
    </w:sdtContent>
  </w:sdt>
  <w:p w:rsidR="00E82FBB" w:rsidRDefault="00E82FBB">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03766"/>
      <w:docPartObj>
        <w:docPartGallery w:val="Page Numbers (Bottom of Page)"/>
        <w:docPartUnique/>
      </w:docPartObj>
    </w:sdtPr>
    <w:sdtContent>
      <w:p w:rsidR="00E82FBB" w:rsidRDefault="00E82FBB">
        <w:pPr>
          <w:pStyle w:val="Kjene"/>
          <w:jc w:val="center"/>
        </w:pPr>
        <w:r>
          <w:fldChar w:fldCharType="begin"/>
        </w:r>
        <w:r>
          <w:instrText>PAGE   \* MERGEFORMAT</w:instrText>
        </w:r>
        <w:r>
          <w:fldChar w:fldCharType="separate"/>
        </w:r>
        <w:r w:rsidR="009C01F2">
          <w:rPr>
            <w:noProof/>
          </w:rPr>
          <w:t>6</w:t>
        </w:r>
        <w:r>
          <w:fldChar w:fldCharType="end"/>
        </w:r>
      </w:p>
    </w:sdtContent>
  </w:sdt>
  <w:p w:rsidR="00E82FBB" w:rsidRDefault="00E82FB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BC" w:rsidRDefault="006D0EBC" w:rsidP="000352AC">
      <w:r>
        <w:separator/>
      </w:r>
    </w:p>
  </w:footnote>
  <w:footnote w:type="continuationSeparator" w:id="0">
    <w:p w:rsidR="006D0EBC" w:rsidRDefault="006D0EBC" w:rsidP="00035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3"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4"/>
  </w:num>
  <w:num w:numId="5">
    <w:abstractNumId w:val="30"/>
  </w:num>
  <w:num w:numId="6">
    <w:abstractNumId w:val="14"/>
  </w:num>
  <w:num w:numId="7">
    <w:abstractNumId w:val="5"/>
  </w:num>
  <w:num w:numId="8">
    <w:abstractNumId w:val="3"/>
  </w:num>
  <w:num w:numId="9">
    <w:abstractNumId w:val="45"/>
  </w:num>
  <w:num w:numId="10">
    <w:abstractNumId w:val="0"/>
  </w:num>
  <w:num w:numId="11">
    <w:abstractNumId w:val="40"/>
  </w:num>
  <w:num w:numId="12">
    <w:abstractNumId w:val="34"/>
  </w:num>
  <w:num w:numId="13">
    <w:abstractNumId w:val="33"/>
  </w:num>
  <w:num w:numId="14">
    <w:abstractNumId w:val="10"/>
  </w:num>
  <w:num w:numId="15">
    <w:abstractNumId w:val="2"/>
  </w:num>
  <w:num w:numId="16">
    <w:abstractNumId w:val="37"/>
  </w:num>
  <w:num w:numId="17">
    <w:abstractNumId w:val="1"/>
  </w:num>
  <w:num w:numId="18">
    <w:abstractNumId w:val="6"/>
  </w:num>
  <w:num w:numId="19">
    <w:abstractNumId w:val="27"/>
  </w:num>
  <w:num w:numId="20">
    <w:abstractNumId w:val="36"/>
  </w:num>
  <w:num w:numId="21">
    <w:abstractNumId w:val="16"/>
  </w:num>
  <w:num w:numId="22">
    <w:abstractNumId w:val="13"/>
  </w:num>
  <w:num w:numId="23">
    <w:abstractNumId w:val="35"/>
  </w:num>
  <w:num w:numId="24">
    <w:abstractNumId w:val="43"/>
  </w:num>
  <w:num w:numId="25">
    <w:abstractNumId w:val="22"/>
  </w:num>
  <w:num w:numId="26">
    <w:abstractNumId w:val="7"/>
  </w:num>
  <w:num w:numId="27">
    <w:abstractNumId w:val="12"/>
  </w:num>
  <w:num w:numId="28">
    <w:abstractNumId w:val="19"/>
  </w:num>
  <w:num w:numId="29">
    <w:abstractNumId w:val="17"/>
  </w:num>
  <w:num w:numId="30">
    <w:abstractNumId w:val="29"/>
  </w:num>
  <w:num w:numId="31">
    <w:abstractNumId w:val="44"/>
  </w:num>
  <w:num w:numId="32">
    <w:abstractNumId w:val="42"/>
  </w:num>
  <w:num w:numId="33">
    <w:abstractNumId w:val="23"/>
  </w:num>
  <w:num w:numId="34">
    <w:abstractNumId w:val="26"/>
  </w:num>
  <w:num w:numId="35">
    <w:abstractNumId w:val="21"/>
  </w:num>
  <w:num w:numId="36">
    <w:abstractNumId w:val="41"/>
  </w:num>
  <w:num w:numId="37">
    <w:abstractNumId w:val="25"/>
  </w:num>
  <w:num w:numId="38">
    <w:abstractNumId w:val="38"/>
  </w:num>
  <w:num w:numId="39">
    <w:abstractNumId w:val="39"/>
  </w:num>
  <w:num w:numId="40">
    <w:abstractNumId w:val="32"/>
  </w:num>
  <w:num w:numId="41">
    <w:abstractNumId w:val="11"/>
  </w:num>
  <w:num w:numId="42">
    <w:abstractNumId w:val="18"/>
  </w:num>
  <w:num w:numId="43">
    <w:abstractNumId w:val="20"/>
  </w:num>
  <w:num w:numId="44">
    <w:abstractNumId w:val="9"/>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2100"/>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6A27"/>
    <w:rsid w:val="000A04E6"/>
    <w:rsid w:val="000A150D"/>
    <w:rsid w:val="000A2E43"/>
    <w:rsid w:val="000A587F"/>
    <w:rsid w:val="000A6673"/>
    <w:rsid w:val="000A68D5"/>
    <w:rsid w:val="000B0D34"/>
    <w:rsid w:val="000B47AF"/>
    <w:rsid w:val="000B4A92"/>
    <w:rsid w:val="000B6E6F"/>
    <w:rsid w:val="000C0D7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7E3"/>
    <w:rsid w:val="001C7DAD"/>
    <w:rsid w:val="001D065C"/>
    <w:rsid w:val="001D074B"/>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2B80"/>
    <w:rsid w:val="002841D2"/>
    <w:rsid w:val="0028570D"/>
    <w:rsid w:val="00286848"/>
    <w:rsid w:val="00286E86"/>
    <w:rsid w:val="002924BF"/>
    <w:rsid w:val="00295025"/>
    <w:rsid w:val="00296C13"/>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3021"/>
    <w:rsid w:val="003D34CE"/>
    <w:rsid w:val="003D488D"/>
    <w:rsid w:val="003D5E25"/>
    <w:rsid w:val="003E3AB0"/>
    <w:rsid w:val="003E7268"/>
    <w:rsid w:val="003F1794"/>
    <w:rsid w:val="003F1E3A"/>
    <w:rsid w:val="003F6DA5"/>
    <w:rsid w:val="003F7AFF"/>
    <w:rsid w:val="00400FAB"/>
    <w:rsid w:val="004015DF"/>
    <w:rsid w:val="0040425D"/>
    <w:rsid w:val="00410052"/>
    <w:rsid w:val="004126CE"/>
    <w:rsid w:val="004128A7"/>
    <w:rsid w:val="00421A68"/>
    <w:rsid w:val="00423494"/>
    <w:rsid w:val="00433428"/>
    <w:rsid w:val="00434499"/>
    <w:rsid w:val="0043613D"/>
    <w:rsid w:val="00446660"/>
    <w:rsid w:val="004506D4"/>
    <w:rsid w:val="00463593"/>
    <w:rsid w:val="00464344"/>
    <w:rsid w:val="0046510B"/>
    <w:rsid w:val="00475F71"/>
    <w:rsid w:val="00477A69"/>
    <w:rsid w:val="004818A2"/>
    <w:rsid w:val="004826B8"/>
    <w:rsid w:val="004908F0"/>
    <w:rsid w:val="00496219"/>
    <w:rsid w:val="004A290E"/>
    <w:rsid w:val="004A4D89"/>
    <w:rsid w:val="004A6B64"/>
    <w:rsid w:val="004A7D27"/>
    <w:rsid w:val="004B0E04"/>
    <w:rsid w:val="004B1271"/>
    <w:rsid w:val="004B2006"/>
    <w:rsid w:val="004B54E0"/>
    <w:rsid w:val="004C032A"/>
    <w:rsid w:val="004C0E54"/>
    <w:rsid w:val="004D75AE"/>
    <w:rsid w:val="004E2EEA"/>
    <w:rsid w:val="004E3D35"/>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5133"/>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0EBC"/>
    <w:rsid w:val="006D12B8"/>
    <w:rsid w:val="006D3661"/>
    <w:rsid w:val="006E242C"/>
    <w:rsid w:val="006E286A"/>
    <w:rsid w:val="006E5146"/>
    <w:rsid w:val="006E6CEF"/>
    <w:rsid w:val="006F3593"/>
    <w:rsid w:val="006F7CE2"/>
    <w:rsid w:val="00700534"/>
    <w:rsid w:val="00700D46"/>
    <w:rsid w:val="0071170B"/>
    <w:rsid w:val="00712A83"/>
    <w:rsid w:val="00717992"/>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B06DB"/>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700C4"/>
    <w:rsid w:val="00871430"/>
    <w:rsid w:val="00876957"/>
    <w:rsid w:val="00883514"/>
    <w:rsid w:val="00885FAC"/>
    <w:rsid w:val="0088761E"/>
    <w:rsid w:val="00890168"/>
    <w:rsid w:val="00891671"/>
    <w:rsid w:val="0089647C"/>
    <w:rsid w:val="00897AF7"/>
    <w:rsid w:val="008A2D7A"/>
    <w:rsid w:val="008A5966"/>
    <w:rsid w:val="008B1490"/>
    <w:rsid w:val="008B38CA"/>
    <w:rsid w:val="008B3A19"/>
    <w:rsid w:val="008B42FE"/>
    <w:rsid w:val="008B4F9F"/>
    <w:rsid w:val="008B5307"/>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01F2"/>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3013"/>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901DD"/>
    <w:rsid w:val="00B9122B"/>
    <w:rsid w:val="00B9362F"/>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4A6E"/>
    <w:rsid w:val="00CE55F9"/>
    <w:rsid w:val="00CF051D"/>
    <w:rsid w:val="00CF0CD3"/>
    <w:rsid w:val="00CF3135"/>
    <w:rsid w:val="00CF4077"/>
    <w:rsid w:val="00CF7C5B"/>
    <w:rsid w:val="00D20DD2"/>
    <w:rsid w:val="00D23202"/>
    <w:rsid w:val="00D272DC"/>
    <w:rsid w:val="00D36B68"/>
    <w:rsid w:val="00D40247"/>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33BC"/>
    <w:rsid w:val="00DD5BD8"/>
    <w:rsid w:val="00DD7148"/>
    <w:rsid w:val="00DE01C0"/>
    <w:rsid w:val="00DE2496"/>
    <w:rsid w:val="00DE43D3"/>
    <w:rsid w:val="00DE46A2"/>
    <w:rsid w:val="00DE633A"/>
    <w:rsid w:val="00DF05CE"/>
    <w:rsid w:val="00DF2D92"/>
    <w:rsid w:val="00E0734A"/>
    <w:rsid w:val="00E07548"/>
    <w:rsid w:val="00E12834"/>
    <w:rsid w:val="00E12D77"/>
    <w:rsid w:val="00E16D51"/>
    <w:rsid w:val="00E220D4"/>
    <w:rsid w:val="00E23B95"/>
    <w:rsid w:val="00E26A89"/>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2FB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F01E81"/>
    <w:rsid w:val="00F11E96"/>
    <w:rsid w:val="00F12DB8"/>
    <w:rsid w:val="00F17A68"/>
    <w:rsid w:val="00F201F2"/>
    <w:rsid w:val="00F21297"/>
    <w:rsid w:val="00F263EC"/>
    <w:rsid w:val="00F275CA"/>
    <w:rsid w:val="00F34E22"/>
    <w:rsid w:val="00F36239"/>
    <w:rsid w:val="00F364B7"/>
    <w:rsid w:val="00F40DE4"/>
    <w:rsid w:val="00F4134F"/>
    <w:rsid w:val="00F436DE"/>
    <w:rsid w:val="00F4401C"/>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220CB1"/>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71F0-4513-44B2-8B74-D4B42C9F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14727</Words>
  <Characters>8395</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5</cp:revision>
  <cp:lastPrinted>2018-08-02T10:14:00Z</cp:lastPrinted>
  <dcterms:created xsi:type="dcterms:W3CDTF">2018-07-30T05:35:00Z</dcterms:created>
  <dcterms:modified xsi:type="dcterms:W3CDTF">2018-08-02T10:28:00Z</dcterms:modified>
</cp:coreProperties>
</file>